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FDAF3" w14:textId="590A542A" w:rsidR="00290DA6" w:rsidRDefault="00000000" w:rsidP="00290DA6">
      <w:pPr>
        <w:rPr>
          <w:b/>
          <w:bCs/>
          <w:sz w:val="28"/>
          <w:szCs w:val="28"/>
        </w:rPr>
      </w:pPr>
      <w:r w:rsidRPr="00290DA6">
        <w:rPr>
          <w:b/>
          <w:bCs/>
          <w:sz w:val="28"/>
          <w:szCs w:val="28"/>
        </w:rPr>
        <w:t>Forskrift om endringer i diverse forskrifter etter skipssikkerhetsloven</w:t>
      </w:r>
      <w:r>
        <w:rPr>
          <w:b/>
          <w:bCs/>
          <w:sz w:val="28"/>
          <w:szCs w:val="28"/>
        </w:rPr>
        <w:t xml:space="preserve"> og </w:t>
      </w:r>
      <w:r w:rsidRPr="00290DA6">
        <w:rPr>
          <w:b/>
          <w:bCs/>
          <w:sz w:val="28"/>
          <w:szCs w:val="28"/>
        </w:rPr>
        <w:t>skipsarbeidsloven</w:t>
      </w:r>
    </w:p>
    <w:p w14:paraId="3CFCD538" w14:textId="77777777" w:rsidR="00290DA6" w:rsidRPr="00290DA6" w:rsidRDefault="00290DA6" w:rsidP="00290DA6">
      <w:pPr>
        <w:rPr>
          <w:b/>
          <w:bCs/>
        </w:rPr>
      </w:pPr>
    </w:p>
    <w:p w14:paraId="0EDDAA18" w14:textId="6C7E178A" w:rsidR="00290DA6" w:rsidRPr="00045EBE" w:rsidRDefault="00000000" w:rsidP="001E5525">
      <w:pPr>
        <w:rPr>
          <w:sz w:val="18"/>
          <w:szCs w:val="18"/>
          <w:lang w:val="nn-NO"/>
        </w:rPr>
      </w:pPr>
      <w:r w:rsidRPr="000F1A05">
        <w:rPr>
          <w:sz w:val="18"/>
          <w:szCs w:val="18"/>
        </w:rPr>
        <w:t>Fastsatt av Sjøfartsdirektoratet</w:t>
      </w:r>
      <w:r w:rsidR="00045EBE" w:rsidRPr="000F1A05">
        <w:rPr>
          <w:sz w:val="18"/>
          <w:szCs w:val="18"/>
        </w:rPr>
        <w:t xml:space="preserve"> </w:t>
      </w:r>
      <w:r w:rsidR="00EA39EA" w:rsidRPr="000F1A05">
        <w:rPr>
          <w:sz w:val="18"/>
          <w:szCs w:val="18"/>
        </w:rPr>
        <w:t>1</w:t>
      </w:r>
      <w:r w:rsidR="00CD21D2" w:rsidRPr="000F1A05">
        <w:rPr>
          <w:sz w:val="18"/>
          <w:szCs w:val="18"/>
        </w:rPr>
        <w:t>4</w:t>
      </w:r>
      <w:r w:rsidR="00045EBE" w:rsidRPr="000F1A05">
        <w:rPr>
          <w:sz w:val="18"/>
          <w:szCs w:val="18"/>
        </w:rPr>
        <w:t>.02.2024</w:t>
      </w:r>
      <w:r w:rsidRPr="000F1A05">
        <w:rPr>
          <w:sz w:val="18"/>
          <w:szCs w:val="18"/>
        </w:rPr>
        <w:t xml:space="preserve"> med</w:t>
      </w:r>
      <w:r w:rsidRPr="00290DA6">
        <w:rPr>
          <w:sz w:val="18"/>
          <w:szCs w:val="18"/>
        </w:rPr>
        <w:t xml:space="preserve"> hjemmel i lov 16. februar 2007 nr. 9 om skipssikkerhet §§ 2, 6, 7, 8, 9, 10, 11, 12, 13, 14, 15, 16, 17, </w:t>
      </w:r>
      <w:r>
        <w:rPr>
          <w:sz w:val="18"/>
          <w:szCs w:val="18"/>
        </w:rPr>
        <w:t xml:space="preserve">18, </w:t>
      </w:r>
      <w:r w:rsidRPr="00290DA6">
        <w:rPr>
          <w:sz w:val="18"/>
          <w:szCs w:val="18"/>
        </w:rPr>
        <w:t>19, 20, 21, 22, 22a, 23, 24, 2</w:t>
      </w:r>
      <w:r w:rsidR="0056116D">
        <w:rPr>
          <w:sz w:val="18"/>
          <w:szCs w:val="18"/>
        </w:rPr>
        <w:t>5</w:t>
      </w:r>
      <w:r w:rsidRPr="00290DA6">
        <w:rPr>
          <w:sz w:val="18"/>
          <w:szCs w:val="18"/>
        </w:rPr>
        <w:t xml:space="preserve">, 26, 27, 28, 28a, 29, 30, 31, 32, 33, 34, 35, 36, 37, 41, 42, 43, 44, 45, 47, 49, 51, 52 og 54, jf. kgl. </w:t>
      </w:r>
      <w:r w:rsidRPr="00045EBE">
        <w:rPr>
          <w:sz w:val="18"/>
          <w:szCs w:val="18"/>
          <w:lang w:val="nn-NO"/>
        </w:rPr>
        <w:t>Res. 16. februar 2007 nr. 171, Nærings- og fiskeridepartementets delegeringsvedtak 31. mai 2007 nr. 590, delegeringsvedtak 29. juni 2007 nr. 849 og delegeringsvedtak 19. august 2013 nr. 1002, og lov 21. juni 2013 nr. 102 om stillingsvern mv. for arbeidstakere på skip § 1-2, 5-14, 6-1, 6-5, 8-4, 9-3 og 9-7, jf. delegeringsvedtak 3. juli 2013 nr. 974.</w:t>
      </w:r>
    </w:p>
    <w:p w14:paraId="5277DC91" w14:textId="77777777" w:rsidR="001E5525" w:rsidRPr="00045EBE" w:rsidRDefault="001E5525" w:rsidP="001E5525">
      <w:pPr>
        <w:rPr>
          <w:sz w:val="18"/>
          <w:szCs w:val="18"/>
          <w:lang w:val="nn-NO"/>
        </w:rPr>
      </w:pPr>
    </w:p>
    <w:p w14:paraId="268179A5" w14:textId="3A036AA0" w:rsidR="00CE0AF5" w:rsidRPr="00045EBE" w:rsidRDefault="00000000" w:rsidP="00CE0AF5">
      <w:pPr>
        <w:pStyle w:val="Default"/>
        <w:jc w:val="center"/>
        <w:rPr>
          <w:b/>
          <w:bCs/>
          <w:sz w:val="22"/>
          <w:szCs w:val="22"/>
          <w:lang w:val="nn-NO"/>
        </w:rPr>
      </w:pPr>
      <w:r w:rsidRPr="00045EBE">
        <w:rPr>
          <w:b/>
          <w:bCs/>
          <w:sz w:val="22"/>
          <w:szCs w:val="22"/>
          <w:lang w:val="nn-NO"/>
        </w:rPr>
        <w:t>I</w:t>
      </w:r>
    </w:p>
    <w:p w14:paraId="50248688" w14:textId="77777777" w:rsidR="00CE0AF5" w:rsidRPr="00045EBE" w:rsidRDefault="00000000" w:rsidP="00CE0AF5">
      <w:pPr>
        <w:pStyle w:val="Default"/>
        <w:rPr>
          <w:sz w:val="22"/>
          <w:szCs w:val="22"/>
          <w:lang w:val="nn-NO"/>
        </w:rPr>
      </w:pPr>
      <w:r w:rsidRPr="00045EBE">
        <w:rPr>
          <w:sz w:val="22"/>
          <w:szCs w:val="22"/>
          <w:lang w:val="nn-NO"/>
        </w:rPr>
        <w:t>I forskrift 25. april 2002 nr. 423 om arbeid og utplassering av ungdom på norske skip gjøres følgende endringer:</w:t>
      </w:r>
    </w:p>
    <w:p w14:paraId="2449F636" w14:textId="77777777" w:rsidR="00CE0AF5" w:rsidRPr="00045EBE" w:rsidRDefault="00000000" w:rsidP="00CE0AF5">
      <w:pPr>
        <w:pStyle w:val="Default"/>
        <w:rPr>
          <w:sz w:val="22"/>
          <w:szCs w:val="22"/>
          <w:lang w:val="nn-NO"/>
        </w:rPr>
      </w:pPr>
      <w:r w:rsidRPr="00045EBE">
        <w:rPr>
          <w:sz w:val="22"/>
          <w:szCs w:val="22"/>
          <w:lang w:val="nn-NO"/>
        </w:rPr>
        <w:t xml:space="preserve"> </w:t>
      </w:r>
    </w:p>
    <w:p w14:paraId="4477312F" w14:textId="77777777" w:rsidR="00CE0AF5" w:rsidRPr="00045EBE" w:rsidRDefault="00000000" w:rsidP="00CE0AF5">
      <w:pPr>
        <w:pStyle w:val="Default"/>
        <w:rPr>
          <w:sz w:val="22"/>
          <w:szCs w:val="22"/>
          <w:lang w:val="nn-NO"/>
        </w:rPr>
      </w:pPr>
      <w:r w:rsidRPr="00045EBE">
        <w:rPr>
          <w:sz w:val="22"/>
          <w:szCs w:val="22"/>
          <w:lang w:val="nn-NO"/>
        </w:rPr>
        <w:t xml:space="preserve">§ 10. </w:t>
      </w:r>
    </w:p>
    <w:p w14:paraId="2BA6C16D" w14:textId="77777777" w:rsidR="00CE0AF5" w:rsidRPr="00045EBE" w:rsidRDefault="00000000" w:rsidP="00CE0AF5">
      <w:pPr>
        <w:pStyle w:val="Default"/>
        <w:rPr>
          <w:sz w:val="22"/>
          <w:szCs w:val="22"/>
          <w:lang w:val="nn-NO"/>
        </w:rPr>
      </w:pPr>
      <w:r w:rsidRPr="00045EBE">
        <w:rPr>
          <w:sz w:val="22"/>
          <w:szCs w:val="22"/>
          <w:lang w:val="nn-NO"/>
        </w:rPr>
        <w:t xml:space="preserve">Første ledd siste setning, «Dette gjelder dog ikke arbeid som nevnt i lov om arbeidstid på skip § 7 nr. 1», oppheves. </w:t>
      </w:r>
    </w:p>
    <w:p w14:paraId="55EDE0C1" w14:textId="77777777" w:rsidR="00CE0AF5" w:rsidRPr="00045EBE" w:rsidRDefault="00CE0AF5" w:rsidP="001E5525">
      <w:pPr>
        <w:rPr>
          <w:sz w:val="18"/>
          <w:szCs w:val="18"/>
          <w:lang w:val="nn-NO"/>
        </w:rPr>
      </w:pPr>
    </w:p>
    <w:p w14:paraId="41DF920E" w14:textId="4802D9B6" w:rsidR="00CE0AF5" w:rsidRDefault="00000000" w:rsidP="00CE0AF5">
      <w:pPr>
        <w:jc w:val="center"/>
        <w:rPr>
          <w:b/>
          <w:bCs/>
          <w:iCs/>
        </w:rPr>
      </w:pPr>
      <w:r>
        <w:rPr>
          <w:b/>
          <w:bCs/>
          <w:iCs/>
        </w:rPr>
        <w:t>II</w:t>
      </w:r>
    </w:p>
    <w:p w14:paraId="38F2FA74" w14:textId="77777777" w:rsidR="00CE0AF5" w:rsidRPr="00536F4F" w:rsidRDefault="00000000" w:rsidP="00CE0AF5">
      <w:pPr>
        <w:rPr>
          <w:iCs/>
        </w:rPr>
      </w:pPr>
      <w:r w:rsidRPr="00536F4F">
        <w:rPr>
          <w:iCs/>
        </w:rPr>
        <w:t>I forskrift 26. juni 2007 nr. 705 om arbeids- og hviletid på norske passasjer- og lasteskip mv. gjøres følgende endringer:</w:t>
      </w:r>
    </w:p>
    <w:p w14:paraId="5C7F0609" w14:textId="77777777" w:rsidR="00CE0AF5" w:rsidRPr="00536F4F" w:rsidRDefault="00000000" w:rsidP="00CE0AF5">
      <w:pPr>
        <w:spacing w:after="0" w:line="240" w:lineRule="auto"/>
        <w:rPr>
          <w:iCs/>
        </w:rPr>
      </w:pPr>
      <w:r w:rsidRPr="00536F4F">
        <w:rPr>
          <w:iCs/>
        </w:rPr>
        <w:t>§ 4 annet ledd skal lyde:</w:t>
      </w:r>
    </w:p>
    <w:p w14:paraId="10177591" w14:textId="77777777" w:rsidR="00CE0AF5" w:rsidRDefault="00000000" w:rsidP="00CE0AF5">
      <w:pPr>
        <w:rPr>
          <w:rFonts w:cstheme="minorHAnsi"/>
          <w:iCs/>
        </w:rPr>
      </w:pPr>
      <w:r w:rsidRPr="00E15598">
        <w:rPr>
          <w:rFonts w:cstheme="minorHAnsi"/>
          <w:iCs/>
        </w:rPr>
        <w:t xml:space="preserve">På passasjerskip i innenriks rutefart med skift- eller </w:t>
      </w:r>
      <w:r w:rsidRPr="00661792">
        <w:rPr>
          <w:rFonts w:cstheme="minorHAnsi"/>
          <w:iCs/>
        </w:rPr>
        <w:t xml:space="preserve">vaktordninger og </w:t>
      </w:r>
      <w:r w:rsidRPr="00536F4F">
        <w:rPr>
          <w:rFonts w:cstheme="minorHAnsi"/>
          <w:i/>
        </w:rPr>
        <w:t>for</w:t>
      </w:r>
      <w:r w:rsidRPr="00661792">
        <w:rPr>
          <w:rFonts w:cstheme="minorHAnsi"/>
          <w:iCs/>
        </w:rPr>
        <w:t xml:space="preserve"> andre skip med bruttotonnasje på eller under 300 kan den alminnelige arbeidstid </w:t>
      </w:r>
      <w:r w:rsidRPr="009018E4">
        <w:rPr>
          <w:rFonts w:cstheme="minorHAnsi"/>
          <w:i/>
        </w:rPr>
        <w:t>overskrides</w:t>
      </w:r>
      <w:r w:rsidRPr="00536F4F">
        <w:rPr>
          <w:rFonts w:cstheme="minorHAnsi"/>
          <w:i/>
        </w:rPr>
        <w:t>. Den</w:t>
      </w:r>
      <w:r w:rsidRPr="00661792">
        <w:rPr>
          <w:rFonts w:cstheme="minorHAnsi"/>
          <w:iCs/>
        </w:rPr>
        <w:t xml:space="preserve"> totale arbeidstid i løpet av en periode på 12 </w:t>
      </w:r>
      <w:r w:rsidRPr="009018E4">
        <w:rPr>
          <w:rFonts w:cstheme="minorHAnsi"/>
          <w:i/>
        </w:rPr>
        <w:t>uker</w:t>
      </w:r>
      <w:r w:rsidRPr="00661792">
        <w:rPr>
          <w:rFonts w:cstheme="minorHAnsi"/>
          <w:iCs/>
        </w:rPr>
        <w:t xml:space="preserve"> </w:t>
      </w:r>
      <w:r w:rsidRPr="00536F4F">
        <w:rPr>
          <w:rFonts w:cstheme="minorHAnsi"/>
          <w:i/>
        </w:rPr>
        <w:t>skal likevel ikke overstige</w:t>
      </w:r>
      <w:r w:rsidRPr="00661792">
        <w:rPr>
          <w:rFonts w:cstheme="minorHAnsi"/>
          <w:iCs/>
        </w:rPr>
        <w:t xml:space="preserve"> </w:t>
      </w:r>
      <w:r w:rsidRPr="009018E4">
        <w:rPr>
          <w:rFonts w:cstheme="minorHAnsi"/>
          <w:i/>
        </w:rPr>
        <w:t>56</w:t>
      </w:r>
      <w:r w:rsidRPr="00661792">
        <w:rPr>
          <w:rFonts w:cstheme="minorHAnsi"/>
          <w:iCs/>
        </w:rPr>
        <w:t xml:space="preserve"> timer i uken i gjennomsnitt.</w:t>
      </w:r>
    </w:p>
    <w:p w14:paraId="070004B2" w14:textId="77777777" w:rsidR="00CE0AF5" w:rsidRPr="00CE5F0F" w:rsidRDefault="00CE0AF5" w:rsidP="00CE0AF5">
      <w:pPr>
        <w:rPr>
          <w:i/>
          <w:highlight w:val="yellow"/>
        </w:rPr>
      </w:pPr>
    </w:p>
    <w:p w14:paraId="3E346EE4" w14:textId="6D055894" w:rsidR="00CE0AF5" w:rsidRDefault="00000000" w:rsidP="00CE0AF5">
      <w:pPr>
        <w:jc w:val="center"/>
        <w:rPr>
          <w:b/>
          <w:bCs/>
        </w:rPr>
      </w:pPr>
      <w:r>
        <w:rPr>
          <w:b/>
          <w:bCs/>
        </w:rPr>
        <w:t>III</w:t>
      </w:r>
    </w:p>
    <w:p w14:paraId="7C8EFC9D" w14:textId="77777777" w:rsidR="00CE0AF5" w:rsidRPr="00A462FA" w:rsidRDefault="00000000" w:rsidP="00CE0AF5">
      <w:pPr>
        <w:rPr>
          <w:iCs/>
        </w:rPr>
      </w:pPr>
      <w:r w:rsidRPr="00A462FA">
        <w:rPr>
          <w:iCs/>
        </w:rPr>
        <w:t>I forskrift 22. desember 2011 nr. 1523 om kvalifikasjoner og sertifikater for sjøfolk gjøres følgende endringer:</w:t>
      </w:r>
    </w:p>
    <w:p w14:paraId="147E006F" w14:textId="77777777" w:rsidR="00CE0AF5" w:rsidRDefault="00000000" w:rsidP="00CE0AF5">
      <w:pPr>
        <w:spacing w:after="0"/>
        <w:rPr>
          <w:iCs/>
        </w:rPr>
      </w:pPr>
      <w:r>
        <w:rPr>
          <w:iCs/>
        </w:rPr>
        <w:t xml:space="preserve">§ 23a. </w:t>
      </w:r>
    </w:p>
    <w:p w14:paraId="40E35D4B" w14:textId="77777777" w:rsidR="00CE0AF5" w:rsidRDefault="00000000" w:rsidP="00CE0AF5">
      <w:pPr>
        <w:spacing w:after="0"/>
        <w:rPr>
          <w:iCs/>
        </w:rPr>
      </w:pPr>
      <w:r>
        <w:rPr>
          <w:iCs/>
        </w:rPr>
        <w:t>Fjerde ledd bokstav b) oppheves.</w:t>
      </w:r>
    </w:p>
    <w:p w14:paraId="6D7EDE36" w14:textId="77777777" w:rsidR="00CE0AF5" w:rsidRDefault="00000000" w:rsidP="00CE0AF5">
      <w:pPr>
        <w:spacing w:after="0"/>
        <w:rPr>
          <w:iCs/>
        </w:rPr>
      </w:pPr>
      <w:r>
        <w:rPr>
          <w:iCs/>
        </w:rPr>
        <w:t>Femte ledd oppheves.</w:t>
      </w:r>
    </w:p>
    <w:p w14:paraId="536C64F4" w14:textId="7A9CEB2E" w:rsidR="00CE0AF5" w:rsidRDefault="00000000" w:rsidP="00593FCF">
      <w:pPr>
        <w:spacing w:after="0"/>
        <w:rPr>
          <w:b/>
          <w:bCs/>
        </w:rPr>
      </w:pPr>
      <w:r>
        <w:rPr>
          <w:iCs/>
        </w:rPr>
        <w:t>Sjette ledd oppheves.</w:t>
      </w:r>
    </w:p>
    <w:p w14:paraId="3EA9A49A" w14:textId="77777777" w:rsidR="0028531D" w:rsidRDefault="0028531D" w:rsidP="00CE0AF5">
      <w:pPr>
        <w:spacing w:after="0"/>
        <w:rPr>
          <w:iCs/>
        </w:rPr>
      </w:pPr>
    </w:p>
    <w:p w14:paraId="3EA558EA" w14:textId="181026B5" w:rsidR="00CE0AF5" w:rsidRDefault="00000000" w:rsidP="00CE0AF5">
      <w:pPr>
        <w:spacing w:after="0"/>
        <w:rPr>
          <w:iCs/>
        </w:rPr>
      </w:pPr>
      <w:r w:rsidRPr="00F5685A">
        <w:rPr>
          <w:iCs/>
        </w:rPr>
        <w:t>§ 34</w:t>
      </w:r>
      <w:r>
        <w:rPr>
          <w:iCs/>
        </w:rPr>
        <w:t xml:space="preserve">. </w:t>
      </w:r>
    </w:p>
    <w:p w14:paraId="6850EC49" w14:textId="77777777" w:rsidR="00CE0AF5" w:rsidRDefault="00000000" w:rsidP="00CE0AF5">
      <w:pPr>
        <w:spacing w:after="0"/>
        <w:rPr>
          <w:b/>
          <w:bCs/>
        </w:rPr>
      </w:pPr>
      <w:r>
        <w:rPr>
          <w:iCs/>
        </w:rPr>
        <w:t xml:space="preserve">Fjerde ledd oppheves. </w:t>
      </w:r>
    </w:p>
    <w:p w14:paraId="0385A036" w14:textId="77777777" w:rsidR="00CE0AF5" w:rsidRDefault="00CE0AF5" w:rsidP="00CE0AF5">
      <w:pPr>
        <w:jc w:val="center"/>
        <w:rPr>
          <w:b/>
          <w:bCs/>
        </w:rPr>
      </w:pPr>
    </w:p>
    <w:p w14:paraId="386CD15A" w14:textId="77777777" w:rsidR="00CE0AF5" w:rsidRDefault="00000000" w:rsidP="00CE0AF5">
      <w:pPr>
        <w:spacing w:after="0"/>
        <w:rPr>
          <w:iCs/>
        </w:rPr>
      </w:pPr>
      <w:r>
        <w:rPr>
          <w:iCs/>
        </w:rPr>
        <w:t xml:space="preserve">§ 43. </w:t>
      </w:r>
    </w:p>
    <w:p w14:paraId="41A8421C" w14:textId="77777777" w:rsidR="00CE0AF5" w:rsidRDefault="00000000" w:rsidP="00CE0AF5">
      <w:pPr>
        <w:spacing w:after="0"/>
        <w:rPr>
          <w:iCs/>
        </w:rPr>
      </w:pPr>
      <w:r>
        <w:rPr>
          <w:iCs/>
        </w:rPr>
        <w:t xml:space="preserve">Fjerde ledd oppheves. </w:t>
      </w:r>
    </w:p>
    <w:p w14:paraId="19725048" w14:textId="77777777" w:rsidR="0028531D" w:rsidRDefault="0028531D" w:rsidP="00CE0AF5">
      <w:pPr>
        <w:spacing w:after="0"/>
        <w:rPr>
          <w:iCs/>
        </w:rPr>
      </w:pPr>
    </w:p>
    <w:p w14:paraId="7D955459" w14:textId="0D1C804A" w:rsidR="00CE0AF5" w:rsidRDefault="00000000" w:rsidP="00CE0AF5">
      <w:pPr>
        <w:spacing w:after="0"/>
        <w:rPr>
          <w:iCs/>
        </w:rPr>
      </w:pPr>
      <w:r>
        <w:rPr>
          <w:iCs/>
        </w:rPr>
        <w:t xml:space="preserve">§ 44. </w:t>
      </w:r>
    </w:p>
    <w:p w14:paraId="64D1D344" w14:textId="77777777" w:rsidR="00CE0AF5" w:rsidRDefault="00000000" w:rsidP="00CE0AF5">
      <w:pPr>
        <w:spacing w:after="0"/>
        <w:rPr>
          <w:iCs/>
        </w:rPr>
      </w:pPr>
      <w:r>
        <w:rPr>
          <w:iCs/>
        </w:rPr>
        <w:t xml:space="preserve">Fjerde ledd oppheves. </w:t>
      </w:r>
    </w:p>
    <w:p w14:paraId="60A2B822" w14:textId="77777777" w:rsidR="00CE0AF5" w:rsidRPr="00290DA6" w:rsidRDefault="00CE0AF5" w:rsidP="00CE0AF5">
      <w:pPr>
        <w:jc w:val="center"/>
        <w:rPr>
          <w:b/>
          <w:bCs/>
        </w:rPr>
      </w:pPr>
    </w:p>
    <w:p w14:paraId="4FDBDD28" w14:textId="77777777" w:rsidR="00CE0AF5" w:rsidRDefault="00000000" w:rsidP="00CE0AF5">
      <w:pPr>
        <w:spacing w:after="0"/>
        <w:rPr>
          <w:iCs/>
        </w:rPr>
      </w:pPr>
      <w:r>
        <w:rPr>
          <w:iCs/>
        </w:rPr>
        <w:lastRenderedPageBreak/>
        <w:t xml:space="preserve">§ 45. </w:t>
      </w:r>
    </w:p>
    <w:p w14:paraId="40C036A6" w14:textId="77777777" w:rsidR="00CE0AF5" w:rsidRDefault="00000000" w:rsidP="00CE0AF5">
      <w:pPr>
        <w:spacing w:after="0"/>
        <w:rPr>
          <w:iCs/>
        </w:rPr>
      </w:pPr>
      <w:r>
        <w:rPr>
          <w:iCs/>
        </w:rPr>
        <w:t xml:space="preserve">Femte ledd oppheves. </w:t>
      </w:r>
    </w:p>
    <w:p w14:paraId="7FD58878" w14:textId="77777777" w:rsidR="0028531D" w:rsidRDefault="0028531D" w:rsidP="00CE0AF5">
      <w:pPr>
        <w:rPr>
          <w:b/>
          <w:bCs/>
        </w:rPr>
      </w:pPr>
    </w:p>
    <w:p w14:paraId="686BB30D" w14:textId="77777777" w:rsidR="00CE0AF5" w:rsidRDefault="00000000" w:rsidP="00CE0AF5">
      <w:pPr>
        <w:spacing w:after="0"/>
        <w:jc w:val="both"/>
        <w:rPr>
          <w:iCs/>
        </w:rPr>
      </w:pPr>
      <w:r>
        <w:rPr>
          <w:iCs/>
        </w:rPr>
        <w:t xml:space="preserve">§ 58d. </w:t>
      </w:r>
    </w:p>
    <w:p w14:paraId="06C0D763" w14:textId="77777777" w:rsidR="00CE0AF5" w:rsidRDefault="00000000" w:rsidP="00CE0AF5">
      <w:pPr>
        <w:spacing w:after="0"/>
        <w:jc w:val="both"/>
        <w:rPr>
          <w:iCs/>
        </w:rPr>
      </w:pPr>
      <w:r>
        <w:rPr>
          <w:iCs/>
        </w:rPr>
        <w:t>Første og annet ledd oppheves.</w:t>
      </w:r>
    </w:p>
    <w:p w14:paraId="42C207DD" w14:textId="77777777" w:rsidR="00C01559" w:rsidRDefault="00C01559" w:rsidP="00CE0AF5">
      <w:pPr>
        <w:spacing w:after="0"/>
        <w:jc w:val="both"/>
        <w:rPr>
          <w:iCs/>
        </w:rPr>
      </w:pPr>
    </w:p>
    <w:p w14:paraId="41E7567A" w14:textId="77777777" w:rsidR="00C01559" w:rsidRDefault="00000000" w:rsidP="00C01559">
      <w:pPr>
        <w:spacing w:after="0"/>
        <w:rPr>
          <w:iCs/>
        </w:rPr>
      </w:pPr>
      <w:r>
        <w:rPr>
          <w:iCs/>
        </w:rPr>
        <w:t>§ 59a.</w:t>
      </w:r>
    </w:p>
    <w:p w14:paraId="62ED54FE" w14:textId="77777777" w:rsidR="00C01559" w:rsidRDefault="00000000" w:rsidP="00C01559">
      <w:pPr>
        <w:spacing w:after="0" w:line="240" w:lineRule="auto"/>
        <w:rPr>
          <w:iCs/>
        </w:rPr>
      </w:pPr>
      <w:r>
        <w:rPr>
          <w:iCs/>
        </w:rPr>
        <w:t xml:space="preserve">Overskriften i § 59a skal lyde: </w:t>
      </w:r>
    </w:p>
    <w:p w14:paraId="45E289D6" w14:textId="77777777" w:rsidR="00C01559" w:rsidRDefault="00000000" w:rsidP="00C01559">
      <w:pPr>
        <w:spacing w:after="0" w:line="240" w:lineRule="auto"/>
        <w:rPr>
          <w:iCs/>
        </w:rPr>
      </w:pPr>
      <w:r>
        <w:rPr>
          <w:iCs/>
        </w:rPr>
        <w:t xml:space="preserve">Krav til skipsfører på lasteskip med lengde (L) under 24 meter i fartsområde liten kystfart </w:t>
      </w:r>
      <w:r w:rsidRPr="00A23B2D">
        <w:rPr>
          <w:i/>
        </w:rPr>
        <w:t>eller lavere fartsområde</w:t>
      </w:r>
      <w:r>
        <w:rPr>
          <w:iCs/>
        </w:rPr>
        <w:t xml:space="preserve"> som deltar i ankerhåndtering, utfører løfteoperasjoner eller sleper </w:t>
      </w:r>
    </w:p>
    <w:p w14:paraId="07B07E09" w14:textId="77777777" w:rsidR="0028531D" w:rsidRDefault="0028531D" w:rsidP="00CE0AF5">
      <w:pPr>
        <w:spacing w:after="0"/>
        <w:rPr>
          <w:b/>
          <w:bCs/>
        </w:rPr>
      </w:pPr>
    </w:p>
    <w:p w14:paraId="44EADF14" w14:textId="3DE14F6B" w:rsidR="00CE0AF5" w:rsidRDefault="00000000" w:rsidP="00CE0AF5">
      <w:pPr>
        <w:spacing w:after="0"/>
        <w:rPr>
          <w:iCs/>
        </w:rPr>
      </w:pPr>
      <w:r w:rsidRPr="00A944A4">
        <w:rPr>
          <w:iCs/>
        </w:rPr>
        <w:t>§ 62</w:t>
      </w:r>
      <w:r>
        <w:rPr>
          <w:iCs/>
        </w:rPr>
        <w:t xml:space="preserve">. </w:t>
      </w:r>
    </w:p>
    <w:p w14:paraId="017CE58D" w14:textId="77777777" w:rsidR="00CE0AF5" w:rsidRDefault="00000000" w:rsidP="00CE0AF5">
      <w:pPr>
        <w:spacing w:after="0"/>
        <w:rPr>
          <w:iCs/>
        </w:rPr>
      </w:pPr>
      <w:r>
        <w:rPr>
          <w:iCs/>
        </w:rPr>
        <w:t xml:space="preserve">Fjerde ledd oppheves. </w:t>
      </w:r>
    </w:p>
    <w:p w14:paraId="2F7EF930" w14:textId="77777777" w:rsidR="00CE0AF5" w:rsidRPr="000700FC" w:rsidRDefault="00CE0AF5" w:rsidP="00CE0AF5">
      <w:pPr>
        <w:rPr>
          <w:iCs/>
        </w:rPr>
      </w:pPr>
    </w:p>
    <w:p w14:paraId="71961A61" w14:textId="77777777" w:rsidR="00CE0AF5" w:rsidRDefault="00000000" w:rsidP="00CE0AF5">
      <w:pPr>
        <w:spacing w:after="0"/>
        <w:rPr>
          <w:iCs/>
        </w:rPr>
      </w:pPr>
      <w:r>
        <w:rPr>
          <w:iCs/>
        </w:rPr>
        <w:t xml:space="preserve">§ 63. </w:t>
      </w:r>
    </w:p>
    <w:p w14:paraId="267EFA78" w14:textId="77777777" w:rsidR="00CE0AF5" w:rsidRDefault="00000000" w:rsidP="00CE0AF5">
      <w:pPr>
        <w:spacing w:after="0"/>
        <w:rPr>
          <w:iCs/>
        </w:rPr>
      </w:pPr>
      <w:r>
        <w:rPr>
          <w:iCs/>
        </w:rPr>
        <w:t xml:space="preserve">Fjerde ledd oppheves. </w:t>
      </w:r>
    </w:p>
    <w:p w14:paraId="705B918D" w14:textId="77777777" w:rsidR="00CE0AF5" w:rsidRDefault="00CE0AF5" w:rsidP="00CE0AF5">
      <w:pPr>
        <w:rPr>
          <w:iCs/>
        </w:rPr>
      </w:pPr>
    </w:p>
    <w:p w14:paraId="143D7D4E" w14:textId="77777777" w:rsidR="00CE0AF5" w:rsidRDefault="00000000" w:rsidP="00CE0AF5">
      <w:pPr>
        <w:spacing w:after="0"/>
        <w:rPr>
          <w:rFonts w:cstheme="minorHAnsi"/>
          <w:iCs/>
        </w:rPr>
      </w:pPr>
      <w:r>
        <w:rPr>
          <w:iCs/>
        </w:rPr>
        <w:t xml:space="preserve">§ 69. </w:t>
      </w:r>
    </w:p>
    <w:p w14:paraId="15FCD55B" w14:textId="77777777" w:rsidR="00CE0AF5" w:rsidRDefault="00000000" w:rsidP="00CE0AF5">
      <w:pPr>
        <w:spacing w:after="0"/>
        <w:rPr>
          <w:rFonts w:cstheme="minorHAnsi"/>
          <w:iCs/>
        </w:rPr>
      </w:pPr>
      <w:r>
        <w:rPr>
          <w:rFonts w:cstheme="minorHAnsi"/>
          <w:iCs/>
        </w:rPr>
        <w:t>Femte ledd oppheves.</w:t>
      </w:r>
    </w:p>
    <w:p w14:paraId="1F91CA7E" w14:textId="77777777" w:rsidR="00CE0AF5" w:rsidRDefault="00CE0AF5" w:rsidP="00CE0AF5">
      <w:pPr>
        <w:jc w:val="center"/>
        <w:rPr>
          <w:b/>
          <w:bCs/>
        </w:rPr>
      </w:pPr>
    </w:p>
    <w:p w14:paraId="3FBF1C93" w14:textId="77777777" w:rsidR="00CE0AF5" w:rsidRDefault="00000000" w:rsidP="00CE0AF5">
      <w:pPr>
        <w:spacing w:after="0"/>
        <w:rPr>
          <w:iCs/>
        </w:rPr>
      </w:pPr>
      <w:r>
        <w:rPr>
          <w:iCs/>
        </w:rPr>
        <w:t xml:space="preserve">§ </w:t>
      </w:r>
      <w:r w:rsidRPr="00457CCE">
        <w:rPr>
          <w:iCs/>
        </w:rPr>
        <w:t>69a</w:t>
      </w:r>
      <w:r>
        <w:rPr>
          <w:iCs/>
        </w:rPr>
        <w:t>.</w:t>
      </w:r>
      <w:r w:rsidRPr="00457CCE">
        <w:rPr>
          <w:iCs/>
        </w:rPr>
        <w:t xml:space="preserve"> </w:t>
      </w:r>
    </w:p>
    <w:p w14:paraId="21B81CE7" w14:textId="77777777" w:rsidR="00CE0AF5" w:rsidRDefault="00000000" w:rsidP="00CE0AF5">
      <w:pPr>
        <w:spacing w:after="0"/>
        <w:rPr>
          <w:iCs/>
        </w:rPr>
      </w:pPr>
      <w:r>
        <w:rPr>
          <w:iCs/>
        </w:rPr>
        <w:t xml:space="preserve">Femte ledd oppheves. </w:t>
      </w:r>
    </w:p>
    <w:p w14:paraId="2F399A2B" w14:textId="77777777" w:rsidR="00CE0AF5" w:rsidRDefault="00CE0AF5" w:rsidP="00CE0AF5">
      <w:pPr>
        <w:spacing w:after="0"/>
        <w:rPr>
          <w:iCs/>
        </w:rPr>
      </w:pPr>
    </w:p>
    <w:p w14:paraId="34FAE470" w14:textId="77777777" w:rsidR="00CE0AF5" w:rsidRPr="00930B4C" w:rsidRDefault="00000000" w:rsidP="00CE0AF5">
      <w:pPr>
        <w:spacing w:after="0"/>
        <w:rPr>
          <w:iCs/>
        </w:rPr>
      </w:pPr>
      <w:r w:rsidRPr="00930B4C">
        <w:rPr>
          <w:iCs/>
        </w:rPr>
        <w:t xml:space="preserve">§ 93. </w:t>
      </w:r>
    </w:p>
    <w:p w14:paraId="181A5EDA" w14:textId="77777777" w:rsidR="00CE0AF5" w:rsidRPr="00930B4C" w:rsidRDefault="00000000" w:rsidP="00CE0AF5">
      <w:pPr>
        <w:rPr>
          <w:iCs/>
        </w:rPr>
      </w:pPr>
      <w:r w:rsidRPr="00930B4C">
        <w:rPr>
          <w:iCs/>
        </w:rPr>
        <w:t xml:space="preserve">Paragrafen oppheves. </w:t>
      </w:r>
    </w:p>
    <w:p w14:paraId="1E0FC418" w14:textId="77777777" w:rsidR="004629DE" w:rsidRDefault="004629DE" w:rsidP="00CE0AF5">
      <w:pPr>
        <w:spacing w:after="0"/>
        <w:rPr>
          <w:iCs/>
        </w:rPr>
      </w:pPr>
    </w:p>
    <w:p w14:paraId="01758B50" w14:textId="475B8BD2" w:rsidR="00CE0AF5" w:rsidRPr="00930B4C" w:rsidRDefault="00000000" w:rsidP="00CE0AF5">
      <w:pPr>
        <w:spacing w:after="0"/>
        <w:rPr>
          <w:iCs/>
        </w:rPr>
      </w:pPr>
      <w:r w:rsidRPr="00930B4C">
        <w:rPr>
          <w:iCs/>
        </w:rPr>
        <w:t xml:space="preserve">§ 94. </w:t>
      </w:r>
    </w:p>
    <w:p w14:paraId="156E3DA1" w14:textId="77777777" w:rsidR="00CE0AF5" w:rsidRPr="00930B4C" w:rsidRDefault="00000000" w:rsidP="00CE0AF5">
      <w:pPr>
        <w:spacing w:after="0"/>
        <w:rPr>
          <w:iCs/>
        </w:rPr>
      </w:pPr>
      <w:r w:rsidRPr="00930B4C">
        <w:rPr>
          <w:iCs/>
        </w:rPr>
        <w:t xml:space="preserve">Paragrafen oppheves. </w:t>
      </w:r>
    </w:p>
    <w:p w14:paraId="413EFA7E" w14:textId="77777777" w:rsidR="00CE0AF5" w:rsidRPr="00930B4C" w:rsidRDefault="00CE0AF5" w:rsidP="00CE0AF5">
      <w:pPr>
        <w:rPr>
          <w:iCs/>
        </w:rPr>
      </w:pPr>
    </w:p>
    <w:p w14:paraId="1801BBE3" w14:textId="77777777" w:rsidR="00CE0AF5" w:rsidRPr="00930B4C" w:rsidRDefault="00000000" w:rsidP="00CE0AF5">
      <w:pPr>
        <w:spacing w:after="0"/>
        <w:rPr>
          <w:iCs/>
        </w:rPr>
      </w:pPr>
      <w:r w:rsidRPr="00930B4C">
        <w:rPr>
          <w:iCs/>
        </w:rPr>
        <w:t xml:space="preserve">§ 95. </w:t>
      </w:r>
    </w:p>
    <w:p w14:paraId="1591BE52" w14:textId="77777777" w:rsidR="00CE0AF5" w:rsidRDefault="00000000" w:rsidP="00CE0AF5">
      <w:pPr>
        <w:spacing w:after="0"/>
        <w:rPr>
          <w:iCs/>
        </w:rPr>
      </w:pPr>
      <w:r w:rsidRPr="00930B4C">
        <w:rPr>
          <w:iCs/>
        </w:rPr>
        <w:t>Paragrafen oppheves.</w:t>
      </w:r>
      <w:r>
        <w:rPr>
          <w:iCs/>
        </w:rPr>
        <w:t xml:space="preserve"> </w:t>
      </w:r>
    </w:p>
    <w:p w14:paraId="313C0901" w14:textId="77777777" w:rsidR="00CE0AF5" w:rsidRDefault="00CE0AF5" w:rsidP="00CE0AF5">
      <w:pPr>
        <w:spacing w:after="0"/>
        <w:rPr>
          <w:iCs/>
        </w:rPr>
      </w:pPr>
    </w:p>
    <w:p w14:paraId="4B434C7D" w14:textId="77777777" w:rsidR="00C01559" w:rsidRDefault="00C01559" w:rsidP="00CE0AF5">
      <w:pPr>
        <w:spacing w:after="0"/>
        <w:rPr>
          <w:iCs/>
        </w:rPr>
      </w:pPr>
    </w:p>
    <w:p w14:paraId="790E8132" w14:textId="28CE3866" w:rsidR="00824C58" w:rsidRPr="0080317C" w:rsidRDefault="00000000" w:rsidP="00824C58">
      <w:pPr>
        <w:jc w:val="center"/>
        <w:rPr>
          <w:b/>
          <w:bCs/>
        </w:rPr>
      </w:pPr>
      <w:r>
        <w:rPr>
          <w:b/>
          <w:bCs/>
        </w:rPr>
        <w:t>IV</w:t>
      </w:r>
    </w:p>
    <w:p w14:paraId="3C7F4783" w14:textId="77777777" w:rsidR="00824C58" w:rsidRDefault="00000000" w:rsidP="00824C58">
      <w:pPr>
        <w:rPr>
          <w:rFonts w:eastAsia="Times New Roman" w:cstheme="minorHAnsi"/>
          <w:color w:val="333333"/>
          <w:kern w:val="0"/>
          <w:lang w:eastAsia="nb-NO"/>
          <w14:ligatures w14:val="none"/>
        </w:rPr>
      </w:pPr>
      <w:r w:rsidRPr="0080317C">
        <w:t xml:space="preserve">I forskrift 1. juli 2014 nr. 955 om radiokommunikasjonsutstyr for norske skip og flyttbare innretninger </w:t>
      </w:r>
      <w:r>
        <w:t>gjøres følgende endringer:</w:t>
      </w:r>
    </w:p>
    <w:p w14:paraId="79E7393D" w14:textId="77777777" w:rsidR="00824C58" w:rsidRDefault="00000000" w:rsidP="00824C58">
      <w:pPr>
        <w:spacing w:after="0" w:line="240" w:lineRule="auto"/>
        <w:textAlignment w:val="baseline"/>
        <w:rPr>
          <w:rFonts w:eastAsia="Times New Roman" w:cstheme="minorHAnsi"/>
          <w:i/>
          <w:iCs/>
          <w:color w:val="333333"/>
          <w:kern w:val="0"/>
          <w:lang w:eastAsia="nb-NO"/>
          <w14:ligatures w14:val="none"/>
        </w:rPr>
      </w:pPr>
      <w:r>
        <w:rPr>
          <w:rStyle w:val="normaltextrun"/>
          <w:color w:val="333333"/>
          <w:shd w:val="clear" w:color="auto" w:fill="FFFFFF"/>
        </w:rPr>
        <w:t xml:space="preserve">§ 3a </w:t>
      </w:r>
      <w:r>
        <w:rPr>
          <w:rStyle w:val="tabchar"/>
          <w:rFonts w:ascii="Calibri" w:hAnsi="Calibri" w:cs="Calibri"/>
          <w:color w:val="333333"/>
          <w:shd w:val="clear" w:color="auto" w:fill="FFFFFF"/>
        </w:rPr>
        <w:tab/>
      </w:r>
      <w:r>
        <w:rPr>
          <w:rStyle w:val="normaltextrun"/>
          <w:i/>
          <w:iCs/>
          <w:color w:val="333333"/>
          <w:shd w:val="clear" w:color="auto" w:fill="FFFFFF"/>
        </w:rPr>
        <w:t>Krav om SART og håndholdt VHF-radio på lasteskip</w:t>
      </w:r>
      <w:r>
        <w:rPr>
          <w:rStyle w:val="eop"/>
          <w:color w:val="333333"/>
          <w:shd w:val="clear" w:color="auto" w:fill="FFFFFF"/>
        </w:rPr>
        <w:t> </w:t>
      </w:r>
    </w:p>
    <w:p w14:paraId="368BD265" w14:textId="77777777" w:rsidR="00824C58" w:rsidRPr="0080317C" w:rsidRDefault="00000000" w:rsidP="00824C58">
      <w:pPr>
        <w:spacing w:after="0" w:line="240" w:lineRule="auto"/>
        <w:textAlignment w:val="baseline"/>
        <w:rPr>
          <w:rFonts w:eastAsia="Times New Roman" w:cstheme="minorHAnsi"/>
          <w:kern w:val="0"/>
          <w:lang w:eastAsia="nb-NO"/>
          <w14:ligatures w14:val="none"/>
        </w:rPr>
      </w:pPr>
      <w:r w:rsidRPr="0080317C">
        <w:rPr>
          <w:rFonts w:eastAsia="Times New Roman" w:cstheme="minorHAnsi"/>
          <w:color w:val="333333"/>
          <w:kern w:val="0"/>
          <w:lang w:eastAsia="nb-NO"/>
          <w14:ligatures w14:val="none"/>
        </w:rPr>
        <w:t>Lasteskip skal være utstyrt med følgende antall SART-er og håndholdte VHF-radioer: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5"/>
        <w:gridCol w:w="3015"/>
        <w:gridCol w:w="3015"/>
      </w:tblGrid>
      <w:tr w:rsidR="00687D28" w14:paraId="1D3F91B7" w14:textId="77777777" w:rsidTr="00824C58">
        <w:trPr>
          <w:trHeight w:val="300"/>
        </w:trPr>
        <w:tc>
          <w:tcPr>
            <w:tcW w:w="3015" w:type="dxa"/>
            <w:tcBorders>
              <w:top w:val="single" w:sz="6" w:space="0" w:color="000000"/>
              <w:left w:val="single" w:sz="6" w:space="0" w:color="000000"/>
              <w:bottom w:val="single" w:sz="6" w:space="0" w:color="000000"/>
              <w:right w:val="single" w:sz="6" w:space="0" w:color="000000"/>
            </w:tcBorders>
            <w:shd w:val="clear" w:color="auto" w:fill="E7E6E6"/>
            <w:hideMark/>
          </w:tcPr>
          <w:p w14:paraId="2D1342A3" w14:textId="77777777" w:rsidR="00824C58" w:rsidRPr="0080317C" w:rsidRDefault="00000000" w:rsidP="00180A50">
            <w:pPr>
              <w:spacing w:after="0" w:line="240" w:lineRule="auto"/>
              <w:jc w:val="center"/>
              <w:textAlignment w:val="baseline"/>
              <w:rPr>
                <w:rFonts w:eastAsia="Times New Roman" w:cstheme="minorHAnsi"/>
                <w:kern w:val="0"/>
                <w:lang w:eastAsia="nb-NO"/>
                <w14:ligatures w14:val="none"/>
              </w:rPr>
            </w:pPr>
            <w:r w:rsidRPr="0080317C">
              <w:rPr>
                <w:rFonts w:eastAsia="Times New Roman" w:cstheme="minorHAnsi"/>
                <w:color w:val="333333"/>
                <w:kern w:val="0"/>
                <w:lang w:eastAsia="nb-NO"/>
                <w14:ligatures w14:val="none"/>
              </w:rPr>
              <w:t>Utstyr </w:t>
            </w:r>
          </w:p>
        </w:tc>
        <w:tc>
          <w:tcPr>
            <w:tcW w:w="3015" w:type="dxa"/>
            <w:tcBorders>
              <w:top w:val="single" w:sz="6" w:space="0" w:color="000000"/>
              <w:left w:val="single" w:sz="6" w:space="0" w:color="000000"/>
              <w:bottom w:val="single" w:sz="6" w:space="0" w:color="000000"/>
              <w:right w:val="single" w:sz="6" w:space="0" w:color="000000"/>
            </w:tcBorders>
            <w:shd w:val="clear" w:color="auto" w:fill="E7E6E6"/>
            <w:hideMark/>
          </w:tcPr>
          <w:p w14:paraId="56F027CD" w14:textId="77777777" w:rsidR="00824C58" w:rsidRPr="0080317C" w:rsidRDefault="00000000" w:rsidP="00180A50">
            <w:pPr>
              <w:spacing w:after="0" w:line="240" w:lineRule="auto"/>
              <w:jc w:val="center"/>
              <w:textAlignment w:val="baseline"/>
              <w:rPr>
                <w:rFonts w:eastAsia="Times New Roman" w:cstheme="minorHAnsi"/>
                <w:kern w:val="0"/>
                <w:lang w:eastAsia="nb-NO"/>
                <w14:ligatures w14:val="none"/>
              </w:rPr>
            </w:pPr>
            <w:r w:rsidRPr="0080317C">
              <w:rPr>
                <w:rFonts w:eastAsia="Times New Roman" w:cstheme="minorHAnsi"/>
                <w:color w:val="333333"/>
                <w:kern w:val="0"/>
                <w:lang w:eastAsia="nb-NO"/>
                <w14:ligatures w14:val="none"/>
              </w:rPr>
              <w:t>Bruttotonnasje og lengdeparametre </w:t>
            </w:r>
          </w:p>
        </w:tc>
        <w:tc>
          <w:tcPr>
            <w:tcW w:w="3015" w:type="dxa"/>
            <w:tcBorders>
              <w:top w:val="single" w:sz="6" w:space="0" w:color="000000"/>
              <w:left w:val="single" w:sz="6" w:space="0" w:color="000000"/>
              <w:bottom w:val="single" w:sz="6" w:space="0" w:color="000000"/>
              <w:right w:val="single" w:sz="6" w:space="0" w:color="000000"/>
            </w:tcBorders>
            <w:shd w:val="clear" w:color="auto" w:fill="E7E6E6"/>
            <w:hideMark/>
          </w:tcPr>
          <w:p w14:paraId="5633D357" w14:textId="77777777" w:rsidR="00824C58" w:rsidRPr="0080317C" w:rsidRDefault="00000000" w:rsidP="00180A50">
            <w:pPr>
              <w:spacing w:after="0" w:line="240" w:lineRule="auto"/>
              <w:jc w:val="center"/>
              <w:textAlignment w:val="baseline"/>
              <w:rPr>
                <w:rFonts w:eastAsia="Times New Roman" w:cstheme="minorHAnsi"/>
                <w:kern w:val="0"/>
                <w:lang w:eastAsia="nb-NO"/>
                <w14:ligatures w14:val="none"/>
              </w:rPr>
            </w:pPr>
            <w:r w:rsidRPr="0080317C">
              <w:rPr>
                <w:rFonts w:eastAsia="Times New Roman" w:cstheme="minorHAnsi"/>
                <w:color w:val="333333"/>
                <w:kern w:val="0"/>
                <w:lang w:eastAsia="nb-NO"/>
                <w14:ligatures w14:val="none"/>
              </w:rPr>
              <w:t>Antall </w:t>
            </w:r>
          </w:p>
        </w:tc>
      </w:tr>
      <w:tr w:rsidR="00687D28" w14:paraId="4C19CE8F" w14:textId="77777777" w:rsidTr="00824C58">
        <w:trPr>
          <w:trHeight w:val="300"/>
        </w:trPr>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2AC5DC8B" w14:textId="77777777" w:rsidR="00824C58" w:rsidRPr="0080317C" w:rsidRDefault="00000000" w:rsidP="00180A50">
            <w:pPr>
              <w:spacing w:after="0" w:line="240" w:lineRule="auto"/>
              <w:textAlignment w:val="baseline"/>
              <w:rPr>
                <w:rFonts w:eastAsia="Times New Roman" w:cstheme="minorHAnsi"/>
                <w:kern w:val="0"/>
                <w:lang w:eastAsia="nb-NO"/>
                <w14:ligatures w14:val="none"/>
              </w:rPr>
            </w:pPr>
            <w:r w:rsidRPr="0080317C">
              <w:rPr>
                <w:rFonts w:eastAsia="Times New Roman" w:cstheme="minorHAnsi"/>
                <w:color w:val="333333"/>
                <w:kern w:val="0"/>
                <w:lang w:eastAsia="nb-NO"/>
                <w14:ligatures w14:val="none"/>
              </w:rPr>
              <w:t>Håndholdt VHF-radio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03AA89C8" w14:textId="77777777" w:rsidR="00824C58" w:rsidRPr="0080317C" w:rsidRDefault="00000000" w:rsidP="00180A50">
            <w:pPr>
              <w:spacing w:after="0" w:line="240" w:lineRule="auto"/>
              <w:textAlignment w:val="baseline"/>
              <w:rPr>
                <w:rFonts w:eastAsia="Times New Roman" w:cstheme="minorHAnsi"/>
                <w:kern w:val="0"/>
                <w:lang w:eastAsia="nb-NO"/>
                <w14:ligatures w14:val="none"/>
              </w:rPr>
            </w:pPr>
            <w:r w:rsidRPr="0080317C">
              <w:rPr>
                <w:rFonts w:eastAsia="Times New Roman" w:cstheme="minorHAnsi"/>
                <w:color w:val="333333"/>
                <w:kern w:val="0"/>
                <w:lang w:eastAsia="nb-NO"/>
                <w14:ligatures w14:val="none"/>
              </w:rPr>
              <w:t>skip &gt; 500 </w:t>
            </w:r>
            <w:r w:rsidRPr="0080317C">
              <w:rPr>
                <w:rFonts w:eastAsia="Times New Roman" w:cstheme="minorHAnsi"/>
                <w:i/>
                <w:iCs/>
                <w:color w:val="333333"/>
                <w:kern w:val="0"/>
                <w:lang w:eastAsia="nb-NO"/>
                <w14:ligatures w14:val="none"/>
              </w:rPr>
              <w:t> </w:t>
            </w:r>
            <w:r w:rsidRPr="0080317C">
              <w:rPr>
                <w:rFonts w:eastAsia="Times New Roman" w:cstheme="minorHAnsi"/>
                <w:color w:val="333333"/>
                <w:kern w:val="0"/>
                <w:lang w:eastAsia="nb-NO"/>
                <w14:ligatures w14:val="none"/>
              </w:rPr>
              <w:t>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4074637F" w14:textId="77777777" w:rsidR="00824C58" w:rsidRPr="0080317C" w:rsidRDefault="00000000" w:rsidP="00180A50">
            <w:pPr>
              <w:spacing w:after="0" w:line="240" w:lineRule="auto"/>
              <w:jc w:val="center"/>
              <w:textAlignment w:val="baseline"/>
              <w:rPr>
                <w:rFonts w:eastAsia="Times New Roman" w:cstheme="minorHAnsi"/>
                <w:kern w:val="0"/>
                <w:lang w:eastAsia="nb-NO"/>
                <w14:ligatures w14:val="none"/>
              </w:rPr>
            </w:pPr>
            <w:r w:rsidRPr="0080317C">
              <w:rPr>
                <w:rFonts w:eastAsia="Times New Roman" w:cstheme="minorHAnsi"/>
                <w:color w:val="333333"/>
                <w:kern w:val="0"/>
                <w:lang w:eastAsia="nb-NO"/>
                <w14:ligatures w14:val="none"/>
              </w:rPr>
              <w:t>3 </w:t>
            </w:r>
          </w:p>
        </w:tc>
      </w:tr>
      <w:tr w:rsidR="00687D28" w14:paraId="1AA61883" w14:textId="77777777" w:rsidTr="00824C58">
        <w:trPr>
          <w:trHeight w:val="300"/>
        </w:trPr>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15163279" w14:textId="77777777" w:rsidR="00824C58" w:rsidRPr="0080317C" w:rsidRDefault="00000000" w:rsidP="00180A50">
            <w:pPr>
              <w:spacing w:after="0" w:line="240" w:lineRule="auto"/>
              <w:textAlignment w:val="baseline"/>
              <w:rPr>
                <w:rFonts w:eastAsia="Times New Roman" w:cstheme="minorHAnsi"/>
                <w:kern w:val="0"/>
                <w:lang w:eastAsia="nb-NO"/>
                <w14:ligatures w14:val="none"/>
              </w:rPr>
            </w:pPr>
            <w:r w:rsidRPr="0080317C">
              <w:rPr>
                <w:rFonts w:eastAsia="Times New Roman" w:cstheme="minorHAnsi"/>
                <w:color w:val="333333"/>
                <w:kern w:val="0"/>
                <w:lang w:eastAsia="nb-NO"/>
                <w14:ligatures w14:val="none"/>
              </w:rPr>
              <w:t>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0F9AFC5D" w14:textId="77777777" w:rsidR="00824C58" w:rsidRPr="0080317C" w:rsidRDefault="00000000" w:rsidP="00180A50">
            <w:pPr>
              <w:spacing w:after="0" w:line="240" w:lineRule="auto"/>
              <w:textAlignment w:val="baseline"/>
              <w:rPr>
                <w:rFonts w:eastAsia="Times New Roman" w:cstheme="minorHAnsi"/>
                <w:kern w:val="0"/>
                <w:lang w:eastAsia="nb-NO"/>
                <w14:ligatures w14:val="none"/>
              </w:rPr>
            </w:pPr>
            <w:r w:rsidRPr="0080317C">
              <w:rPr>
                <w:rFonts w:eastAsia="Times New Roman" w:cstheme="minorHAnsi"/>
                <w:color w:val="333333"/>
                <w:kern w:val="0"/>
                <w:lang w:eastAsia="nb-NO"/>
                <w14:ligatures w14:val="none"/>
              </w:rPr>
              <w:t>8 meter ≤ skip &lt; 500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47D03C4C" w14:textId="77777777" w:rsidR="00824C58" w:rsidRPr="0080317C" w:rsidRDefault="00000000" w:rsidP="00180A50">
            <w:pPr>
              <w:spacing w:after="0" w:line="240" w:lineRule="auto"/>
              <w:jc w:val="center"/>
              <w:textAlignment w:val="baseline"/>
              <w:rPr>
                <w:rFonts w:eastAsia="Times New Roman" w:cstheme="minorHAnsi"/>
                <w:kern w:val="0"/>
                <w:lang w:eastAsia="nb-NO"/>
                <w14:ligatures w14:val="none"/>
              </w:rPr>
            </w:pPr>
            <w:r w:rsidRPr="0080317C">
              <w:rPr>
                <w:rFonts w:eastAsia="Times New Roman" w:cstheme="minorHAnsi"/>
                <w:color w:val="333333"/>
                <w:kern w:val="0"/>
                <w:lang w:eastAsia="nb-NO"/>
                <w14:ligatures w14:val="none"/>
              </w:rPr>
              <w:t>2 </w:t>
            </w:r>
          </w:p>
        </w:tc>
      </w:tr>
      <w:tr w:rsidR="00687D28" w14:paraId="13DE237F" w14:textId="77777777" w:rsidTr="00824C58">
        <w:trPr>
          <w:trHeight w:val="300"/>
        </w:trPr>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71071874" w14:textId="77777777" w:rsidR="00824C58" w:rsidRPr="0080317C" w:rsidRDefault="00000000" w:rsidP="00180A50">
            <w:pPr>
              <w:spacing w:after="0" w:line="240" w:lineRule="auto"/>
              <w:textAlignment w:val="baseline"/>
              <w:rPr>
                <w:rFonts w:eastAsia="Times New Roman" w:cstheme="minorHAnsi"/>
                <w:kern w:val="0"/>
                <w:lang w:eastAsia="nb-NO"/>
                <w14:ligatures w14:val="none"/>
              </w:rPr>
            </w:pPr>
            <w:r w:rsidRPr="0080317C">
              <w:rPr>
                <w:rFonts w:eastAsia="Times New Roman" w:cstheme="minorHAnsi"/>
                <w:color w:val="333333"/>
                <w:kern w:val="0"/>
                <w:lang w:eastAsia="nb-NO"/>
                <w14:ligatures w14:val="none"/>
              </w:rPr>
              <w:t>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38420331" w14:textId="77777777" w:rsidR="00824C58" w:rsidRPr="0080317C" w:rsidRDefault="00000000" w:rsidP="00180A50">
            <w:pPr>
              <w:spacing w:after="0" w:line="240" w:lineRule="auto"/>
              <w:textAlignment w:val="baseline"/>
              <w:rPr>
                <w:rFonts w:eastAsia="Times New Roman" w:cstheme="minorHAnsi"/>
                <w:kern w:val="0"/>
                <w:lang w:eastAsia="nb-NO"/>
                <w14:ligatures w14:val="none"/>
              </w:rPr>
            </w:pPr>
            <w:r w:rsidRPr="0080317C">
              <w:rPr>
                <w:rFonts w:eastAsia="Times New Roman" w:cstheme="minorHAnsi"/>
                <w:color w:val="333333"/>
                <w:kern w:val="0"/>
                <w:lang w:eastAsia="nb-NO"/>
                <w14:ligatures w14:val="none"/>
              </w:rPr>
              <w:t>skip &lt; 8 meter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57813BC0" w14:textId="77777777" w:rsidR="00824C58" w:rsidRPr="0080317C" w:rsidRDefault="00000000" w:rsidP="00180A50">
            <w:pPr>
              <w:spacing w:after="0" w:line="240" w:lineRule="auto"/>
              <w:jc w:val="center"/>
              <w:textAlignment w:val="baseline"/>
              <w:rPr>
                <w:rFonts w:eastAsia="Times New Roman" w:cstheme="minorHAnsi"/>
                <w:kern w:val="0"/>
                <w:lang w:eastAsia="nb-NO"/>
                <w14:ligatures w14:val="none"/>
              </w:rPr>
            </w:pPr>
            <w:r w:rsidRPr="0080317C">
              <w:rPr>
                <w:rFonts w:eastAsia="Times New Roman" w:cstheme="minorHAnsi"/>
                <w:color w:val="333333"/>
                <w:kern w:val="0"/>
                <w:lang w:eastAsia="nb-NO"/>
                <w14:ligatures w14:val="none"/>
              </w:rPr>
              <w:t>1 </w:t>
            </w:r>
          </w:p>
        </w:tc>
      </w:tr>
      <w:tr w:rsidR="00687D28" w14:paraId="3027B0ED" w14:textId="77777777" w:rsidTr="00824C58">
        <w:trPr>
          <w:trHeight w:val="300"/>
        </w:trPr>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4C048472" w14:textId="77777777" w:rsidR="00824C58" w:rsidRPr="0080317C" w:rsidRDefault="00000000" w:rsidP="00180A50">
            <w:pPr>
              <w:spacing w:after="0" w:line="240" w:lineRule="auto"/>
              <w:textAlignment w:val="baseline"/>
              <w:rPr>
                <w:rFonts w:eastAsia="Times New Roman" w:cstheme="minorHAnsi"/>
                <w:kern w:val="0"/>
                <w:lang w:eastAsia="nb-NO"/>
                <w14:ligatures w14:val="none"/>
              </w:rPr>
            </w:pPr>
            <w:r w:rsidRPr="0080317C">
              <w:rPr>
                <w:rFonts w:eastAsia="Times New Roman" w:cstheme="minorHAnsi"/>
                <w:color w:val="333333"/>
                <w:kern w:val="0"/>
                <w:lang w:eastAsia="nb-NO"/>
                <w14:ligatures w14:val="none"/>
              </w:rPr>
              <w:lastRenderedPageBreak/>
              <w:t>SART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6459E3ED" w14:textId="77777777" w:rsidR="00824C58" w:rsidRPr="0080317C" w:rsidRDefault="00000000" w:rsidP="00180A50">
            <w:pPr>
              <w:spacing w:after="0" w:line="240" w:lineRule="auto"/>
              <w:textAlignment w:val="baseline"/>
              <w:rPr>
                <w:rFonts w:eastAsia="Times New Roman" w:cstheme="minorHAnsi"/>
                <w:kern w:val="0"/>
                <w:lang w:eastAsia="nb-NO"/>
                <w14:ligatures w14:val="none"/>
              </w:rPr>
            </w:pPr>
            <w:r w:rsidRPr="0080317C">
              <w:rPr>
                <w:rFonts w:eastAsia="Times New Roman" w:cstheme="minorHAnsi"/>
                <w:color w:val="333333"/>
                <w:kern w:val="0"/>
                <w:lang w:eastAsia="nb-NO"/>
                <w14:ligatures w14:val="none"/>
              </w:rPr>
              <w:t>skip &gt; 500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6789E51E" w14:textId="77777777" w:rsidR="00824C58" w:rsidRPr="0080317C" w:rsidRDefault="00000000" w:rsidP="00180A50">
            <w:pPr>
              <w:spacing w:after="0" w:line="240" w:lineRule="auto"/>
              <w:jc w:val="center"/>
              <w:textAlignment w:val="baseline"/>
              <w:rPr>
                <w:rFonts w:eastAsia="Times New Roman" w:cstheme="minorHAnsi"/>
                <w:kern w:val="0"/>
                <w:lang w:eastAsia="nb-NO"/>
                <w14:ligatures w14:val="none"/>
              </w:rPr>
            </w:pPr>
            <w:r w:rsidRPr="0080317C">
              <w:rPr>
                <w:rFonts w:eastAsia="Times New Roman" w:cstheme="minorHAnsi"/>
                <w:color w:val="333333"/>
                <w:kern w:val="0"/>
                <w:lang w:eastAsia="nb-NO"/>
                <w14:ligatures w14:val="none"/>
              </w:rPr>
              <w:t>2 </w:t>
            </w:r>
          </w:p>
        </w:tc>
      </w:tr>
      <w:tr w:rsidR="00687D28" w14:paraId="31BECAFC" w14:textId="77777777" w:rsidTr="00824C58">
        <w:trPr>
          <w:trHeight w:val="300"/>
        </w:trPr>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7DBB45B1" w14:textId="77777777" w:rsidR="00824C58" w:rsidRPr="0080317C" w:rsidRDefault="00000000" w:rsidP="00180A50">
            <w:pPr>
              <w:spacing w:after="0" w:line="240" w:lineRule="auto"/>
              <w:textAlignment w:val="baseline"/>
              <w:rPr>
                <w:rFonts w:eastAsia="Times New Roman" w:cstheme="minorHAnsi"/>
                <w:kern w:val="0"/>
                <w:lang w:eastAsia="nb-NO"/>
                <w14:ligatures w14:val="none"/>
              </w:rPr>
            </w:pPr>
            <w:r w:rsidRPr="0080317C">
              <w:rPr>
                <w:rFonts w:eastAsia="Times New Roman" w:cstheme="minorHAnsi"/>
                <w:color w:val="333333"/>
                <w:kern w:val="0"/>
                <w:lang w:eastAsia="nb-NO"/>
                <w14:ligatures w14:val="none"/>
              </w:rPr>
              <w:t>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146D9017" w14:textId="77777777" w:rsidR="00824C58" w:rsidRPr="0080317C" w:rsidRDefault="00000000" w:rsidP="00180A50">
            <w:pPr>
              <w:spacing w:after="0" w:line="240" w:lineRule="auto"/>
              <w:textAlignment w:val="baseline"/>
              <w:rPr>
                <w:rFonts w:eastAsia="Times New Roman" w:cstheme="minorHAnsi"/>
                <w:kern w:val="0"/>
                <w:lang w:eastAsia="nb-NO"/>
                <w14:ligatures w14:val="none"/>
              </w:rPr>
            </w:pPr>
            <w:r w:rsidRPr="0080317C">
              <w:rPr>
                <w:rFonts w:eastAsia="Times New Roman" w:cstheme="minorHAnsi"/>
                <w:color w:val="333333"/>
                <w:kern w:val="0"/>
                <w:lang w:eastAsia="nb-NO"/>
                <w14:ligatures w14:val="none"/>
              </w:rPr>
              <w:t>100 ≤ skip &lt; 500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4A3D6E57" w14:textId="77777777" w:rsidR="00824C58" w:rsidRPr="0080317C" w:rsidRDefault="00000000" w:rsidP="00180A50">
            <w:pPr>
              <w:spacing w:after="0" w:line="240" w:lineRule="auto"/>
              <w:jc w:val="center"/>
              <w:textAlignment w:val="baseline"/>
              <w:rPr>
                <w:rFonts w:eastAsia="Times New Roman" w:cstheme="minorHAnsi"/>
                <w:kern w:val="0"/>
                <w:lang w:eastAsia="nb-NO"/>
                <w14:ligatures w14:val="none"/>
              </w:rPr>
            </w:pPr>
            <w:r w:rsidRPr="0080317C">
              <w:rPr>
                <w:rFonts w:eastAsia="Times New Roman" w:cstheme="minorHAnsi"/>
                <w:color w:val="333333"/>
                <w:kern w:val="0"/>
                <w:lang w:eastAsia="nb-NO"/>
                <w14:ligatures w14:val="none"/>
              </w:rPr>
              <w:t>1 </w:t>
            </w:r>
          </w:p>
        </w:tc>
      </w:tr>
      <w:tr w:rsidR="00687D28" w14:paraId="1E9E548E" w14:textId="77777777" w:rsidTr="00824C58">
        <w:trPr>
          <w:trHeight w:val="300"/>
        </w:trPr>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7F7DF50B" w14:textId="77777777" w:rsidR="00824C58" w:rsidRPr="0080317C" w:rsidRDefault="00000000" w:rsidP="00180A50">
            <w:pPr>
              <w:spacing w:after="0" w:line="240" w:lineRule="auto"/>
              <w:textAlignment w:val="baseline"/>
              <w:rPr>
                <w:rFonts w:eastAsia="Times New Roman" w:cstheme="minorHAnsi"/>
                <w:kern w:val="0"/>
                <w:lang w:eastAsia="nb-NO"/>
                <w14:ligatures w14:val="none"/>
              </w:rPr>
            </w:pPr>
            <w:r w:rsidRPr="0080317C">
              <w:rPr>
                <w:rFonts w:eastAsia="Times New Roman" w:cstheme="minorHAnsi"/>
                <w:color w:val="333333"/>
                <w:kern w:val="0"/>
                <w:lang w:eastAsia="nb-NO"/>
                <w14:ligatures w14:val="none"/>
              </w:rPr>
              <w:t>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1E2E9C7C" w14:textId="77777777" w:rsidR="00824C58" w:rsidRPr="0080317C" w:rsidRDefault="00000000" w:rsidP="00180A50">
            <w:pPr>
              <w:spacing w:after="0" w:line="240" w:lineRule="auto"/>
              <w:textAlignment w:val="baseline"/>
              <w:rPr>
                <w:rFonts w:eastAsia="Times New Roman" w:cstheme="minorHAnsi"/>
                <w:kern w:val="0"/>
                <w:lang w:eastAsia="nb-NO"/>
                <w14:ligatures w14:val="none"/>
              </w:rPr>
            </w:pPr>
            <w:r w:rsidRPr="0080317C">
              <w:rPr>
                <w:rFonts w:eastAsia="Times New Roman" w:cstheme="minorHAnsi"/>
                <w:i/>
                <w:iCs/>
                <w:color w:val="333333"/>
                <w:kern w:val="0"/>
                <w:lang w:eastAsia="nb-NO"/>
                <w14:ligatures w14:val="none"/>
              </w:rPr>
              <w:t>8 meter ≤ skip &lt; 100 </w:t>
            </w:r>
            <w:r w:rsidRPr="0080317C">
              <w:rPr>
                <w:rFonts w:eastAsia="Times New Roman" w:cstheme="minorHAnsi"/>
                <w:color w:val="333333"/>
                <w:kern w:val="0"/>
                <w:lang w:eastAsia="nb-NO"/>
                <w14:ligatures w14:val="none"/>
              </w:rPr>
              <w:t> </w:t>
            </w:r>
          </w:p>
        </w:tc>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7D3613B0" w14:textId="77777777" w:rsidR="00824C58" w:rsidRPr="0080317C" w:rsidRDefault="00000000" w:rsidP="00180A50">
            <w:pPr>
              <w:spacing w:after="0" w:line="240" w:lineRule="auto"/>
              <w:jc w:val="center"/>
              <w:textAlignment w:val="baseline"/>
              <w:rPr>
                <w:rFonts w:eastAsia="Times New Roman" w:cstheme="minorHAnsi"/>
                <w:kern w:val="0"/>
                <w:lang w:eastAsia="nb-NO"/>
                <w14:ligatures w14:val="none"/>
              </w:rPr>
            </w:pPr>
            <w:r w:rsidRPr="0080317C">
              <w:rPr>
                <w:rFonts w:eastAsia="Times New Roman" w:cstheme="minorHAnsi"/>
                <w:color w:val="333333"/>
                <w:kern w:val="0"/>
                <w:lang w:eastAsia="nb-NO"/>
                <w14:ligatures w14:val="none"/>
              </w:rPr>
              <w:t>1 i fartsområde 3 eller større </w:t>
            </w:r>
          </w:p>
        </w:tc>
      </w:tr>
    </w:tbl>
    <w:p w14:paraId="640CCFD0" w14:textId="77777777" w:rsidR="00824C58" w:rsidRDefault="00824C58" w:rsidP="00824C58">
      <w:pPr>
        <w:jc w:val="center"/>
        <w:rPr>
          <w:b/>
          <w:bCs/>
        </w:rPr>
      </w:pPr>
    </w:p>
    <w:p w14:paraId="3DEE56C9" w14:textId="2C449BDF" w:rsidR="00824C58" w:rsidRDefault="00000000" w:rsidP="00824C58">
      <w:pPr>
        <w:jc w:val="center"/>
        <w:rPr>
          <w:b/>
          <w:bCs/>
        </w:rPr>
      </w:pPr>
      <w:r>
        <w:rPr>
          <w:b/>
          <w:bCs/>
        </w:rPr>
        <w:t>V</w:t>
      </w:r>
    </w:p>
    <w:p w14:paraId="7B843A4D" w14:textId="77777777" w:rsidR="00824C58" w:rsidRPr="00D67DCB" w:rsidRDefault="00000000" w:rsidP="00824C58">
      <w:pPr>
        <w:spacing w:after="0"/>
        <w:rPr>
          <w:iCs/>
        </w:rPr>
      </w:pPr>
      <w:r>
        <w:rPr>
          <w:iCs/>
        </w:rPr>
        <w:t>I</w:t>
      </w:r>
      <w:r w:rsidRPr="00D67DCB">
        <w:rPr>
          <w:iCs/>
        </w:rPr>
        <w:t xml:space="preserve"> forskrift 4. desember 2015 nr. 1392 om slepearrangement og forflytning av flyttbare innretninger (slepeforskriften)</w:t>
      </w:r>
      <w:r>
        <w:rPr>
          <w:iCs/>
        </w:rPr>
        <w:t xml:space="preserve"> gjøres følgende endringer</w:t>
      </w:r>
      <w:r w:rsidRPr="00D67DCB">
        <w:rPr>
          <w:iCs/>
        </w:rPr>
        <w:t xml:space="preserve">: </w:t>
      </w:r>
    </w:p>
    <w:p w14:paraId="1ABDA1A6" w14:textId="77777777" w:rsidR="00824C58" w:rsidRPr="00D67DCB" w:rsidRDefault="00824C58" w:rsidP="00824C58">
      <w:pPr>
        <w:spacing w:after="0"/>
        <w:rPr>
          <w:iCs/>
        </w:rPr>
      </w:pPr>
    </w:p>
    <w:p w14:paraId="77EF1293" w14:textId="77777777" w:rsidR="00824C58" w:rsidRPr="00324AB7" w:rsidRDefault="00000000" w:rsidP="00824C58">
      <w:pPr>
        <w:spacing w:after="0"/>
        <w:rPr>
          <w:iCs/>
        </w:rPr>
      </w:pPr>
      <w:r w:rsidRPr="00D67DCB">
        <w:rPr>
          <w:iCs/>
        </w:rPr>
        <w:t xml:space="preserve">§ 15 </w:t>
      </w:r>
      <w:r>
        <w:rPr>
          <w:iCs/>
        </w:rPr>
        <w:t>skal lyde</w:t>
      </w:r>
      <w:r w:rsidRPr="00D67DCB">
        <w:rPr>
          <w:iCs/>
        </w:rPr>
        <w:t>:</w:t>
      </w:r>
    </w:p>
    <w:p w14:paraId="29A8973A" w14:textId="77777777" w:rsidR="00824C58" w:rsidRPr="00CF0088" w:rsidRDefault="00000000" w:rsidP="00824C58">
      <w:pPr>
        <w:spacing w:after="0"/>
        <w:rPr>
          <w:i/>
        </w:rPr>
      </w:pPr>
      <w:r w:rsidRPr="00CF0088">
        <w:rPr>
          <w:i/>
        </w:rPr>
        <w:t>Flyttbare innretninger kan frem til neste sertifikatutstedelse følge kravene som gjaldt ved siste sertifikatutstedelse så langt annet ikke følger av den enkelte paragrafen.</w:t>
      </w:r>
    </w:p>
    <w:p w14:paraId="43BE4F6E" w14:textId="77777777" w:rsidR="00824C58" w:rsidRPr="00D67DCB" w:rsidRDefault="00824C58" w:rsidP="00824C58">
      <w:pPr>
        <w:spacing w:after="0"/>
        <w:rPr>
          <w:iCs/>
        </w:rPr>
      </w:pPr>
    </w:p>
    <w:p w14:paraId="76FA141C" w14:textId="77777777" w:rsidR="00824C58" w:rsidRDefault="00000000" w:rsidP="00824C58">
      <w:pPr>
        <w:spacing w:after="0"/>
        <w:rPr>
          <w:iCs/>
        </w:rPr>
      </w:pPr>
      <w:r w:rsidRPr="00D67DCB">
        <w:rPr>
          <w:iCs/>
        </w:rPr>
        <w:t>Vedlegg I til forskriften oppheves.</w:t>
      </w:r>
    </w:p>
    <w:p w14:paraId="72E27E9D" w14:textId="77777777" w:rsidR="00824C58" w:rsidRPr="00D67DCB" w:rsidRDefault="00824C58" w:rsidP="00824C58">
      <w:pPr>
        <w:spacing w:after="0"/>
        <w:rPr>
          <w:iCs/>
        </w:rPr>
      </w:pPr>
    </w:p>
    <w:p w14:paraId="76204465" w14:textId="5F1C7BCC" w:rsidR="00824C58" w:rsidRDefault="00000000" w:rsidP="00824C58">
      <w:pPr>
        <w:jc w:val="center"/>
        <w:rPr>
          <w:b/>
          <w:bCs/>
        </w:rPr>
      </w:pPr>
      <w:r>
        <w:rPr>
          <w:b/>
          <w:bCs/>
        </w:rPr>
        <w:t>VI</w:t>
      </w:r>
    </w:p>
    <w:p w14:paraId="4EECBE2B" w14:textId="77777777" w:rsidR="00824C58" w:rsidRPr="00D67DCB" w:rsidRDefault="00000000" w:rsidP="00824C58">
      <w:pPr>
        <w:spacing w:after="0"/>
        <w:rPr>
          <w:iCs/>
        </w:rPr>
      </w:pPr>
      <w:r>
        <w:rPr>
          <w:iCs/>
        </w:rPr>
        <w:t>I</w:t>
      </w:r>
      <w:r w:rsidRPr="00D67DCB">
        <w:rPr>
          <w:iCs/>
        </w:rPr>
        <w:t xml:space="preserve"> forskrift 4. desember 2015 nr. 1406 om drikkevann og drikkevannsanlegg på flyttbare innretninger</w:t>
      </w:r>
      <w:r>
        <w:rPr>
          <w:iCs/>
        </w:rPr>
        <w:t xml:space="preserve"> gjøres følgende endringer</w:t>
      </w:r>
      <w:r w:rsidRPr="00D67DCB">
        <w:rPr>
          <w:iCs/>
        </w:rPr>
        <w:t>:</w:t>
      </w:r>
    </w:p>
    <w:p w14:paraId="6B484B9D" w14:textId="77777777" w:rsidR="00824C58" w:rsidRPr="00D67DCB" w:rsidRDefault="00824C58" w:rsidP="00824C58">
      <w:pPr>
        <w:spacing w:after="0"/>
        <w:rPr>
          <w:iCs/>
        </w:rPr>
      </w:pPr>
    </w:p>
    <w:p w14:paraId="4F89B7A0" w14:textId="77777777" w:rsidR="00824C58" w:rsidRPr="00D67DCB" w:rsidRDefault="00000000" w:rsidP="00824C58">
      <w:pPr>
        <w:spacing w:after="0"/>
        <w:rPr>
          <w:iCs/>
        </w:rPr>
      </w:pPr>
      <w:r w:rsidRPr="00D67DCB">
        <w:rPr>
          <w:iCs/>
        </w:rPr>
        <w:t xml:space="preserve">§ 17 </w:t>
      </w:r>
      <w:r>
        <w:rPr>
          <w:iCs/>
        </w:rPr>
        <w:t>skal lyde</w:t>
      </w:r>
      <w:r w:rsidRPr="00D67DCB">
        <w:rPr>
          <w:iCs/>
        </w:rPr>
        <w:t>:</w:t>
      </w:r>
    </w:p>
    <w:p w14:paraId="71565D0C" w14:textId="77777777" w:rsidR="00824C58" w:rsidRPr="00CF0088" w:rsidRDefault="00000000" w:rsidP="00824C58">
      <w:pPr>
        <w:spacing w:after="0"/>
        <w:rPr>
          <w:i/>
        </w:rPr>
      </w:pPr>
      <w:r w:rsidRPr="00CF0088">
        <w:rPr>
          <w:i/>
        </w:rPr>
        <w:t>Flyttbare innretninger kan frem til neste sertifikatutstedelse følge kravene som gjaldt ved siste sertifikatutstedelse så langt annet ikke følger av den enkelte paragrafen.</w:t>
      </w:r>
    </w:p>
    <w:p w14:paraId="193C9317" w14:textId="77777777" w:rsidR="00824C58" w:rsidRPr="00D67DCB" w:rsidRDefault="00824C58" w:rsidP="00824C58">
      <w:pPr>
        <w:spacing w:after="0"/>
        <w:rPr>
          <w:b/>
          <w:bCs/>
          <w:iCs/>
        </w:rPr>
      </w:pPr>
    </w:p>
    <w:p w14:paraId="43E3AB67" w14:textId="77777777" w:rsidR="00824C58" w:rsidRPr="00D67DCB" w:rsidRDefault="00000000" w:rsidP="00824C58">
      <w:pPr>
        <w:spacing w:after="0"/>
        <w:rPr>
          <w:iCs/>
        </w:rPr>
      </w:pPr>
      <w:r w:rsidRPr="00D67DCB">
        <w:rPr>
          <w:iCs/>
        </w:rPr>
        <w:t xml:space="preserve">Vedlegg I til forskriften oppheves. </w:t>
      </w:r>
    </w:p>
    <w:p w14:paraId="1033644A" w14:textId="77777777" w:rsidR="00824C58" w:rsidRPr="002A6028" w:rsidRDefault="00824C58" w:rsidP="00824C58">
      <w:pPr>
        <w:spacing w:after="0" w:line="240" w:lineRule="auto"/>
        <w:rPr>
          <w:iCs/>
        </w:rPr>
      </w:pPr>
    </w:p>
    <w:p w14:paraId="1E9B2481" w14:textId="77777777" w:rsidR="00824C58" w:rsidRDefault="00000000" w:rsidP="00824C58">
      <w:pPr>
        <w:pStyle w:val="Default"/>
        <w:tabs>
          <w:tab w:val="left" w:pos="5699"/>
        </w:tabs>
        <w:rPr>
          <w:sz w:val="22"/>
          <w:szCs w:val="22"/>
        </w:rPr>
      </w:pPr>
      <w:r>
        <w:rPr>
          <w:sz w:val="22"/>
          <w:szCs w:val="22"/>
        </w:rPr>
        <w:tab/>
      </w:r>
    </w:p>
    <w:p w14:paraId="006D2D03" w14:textId="021FCA70" w:rsidR="00824C58" w:rsidRDefault="00000000" w:rsidP="00824C58">
      <w:pPr>
        <w:jc w:val="center"/>
        <w:rPr>
          <w:b/>
          <w:bCs/>
        </w:rPr>
      </w:pPr>
      <w:r>
        <w:rPr>
          <w:b/>
          <w:bCs/>
        </w:rPr>
        <w:t>VII</w:t>
      </w:r>
    </w:p>
    <w:p w14:paraId="776470CD" w14:textId="77777777" w:rsidR="00824C58" w:rsidRDefault="00000000" w:rsidP="00824C58">
      <w:pPr>
        <w:rPr>
          <w:iCs/>
        </w:rPr>
      </w:pPr>
      <w:r>
        <w:rPr>
          <w:iCs/>
        </w:rPr>
        <w:t>I</w:t>
      </w:r>
      <w:r w:rsidRPr="00D67DCB">
        <w:rPr>
          <w:iCs/>
        </w:rPr>
        <w:t xml:space="preserve"> forskrift 27. januar 2016 nr. 67 om ballastsystem på flyttbare innretninger (ballastforskriften)</w:t>
      </w:r>
      <w:r>
        <w:rPr>
          <w:iCs/>
        </w:rPr>
        <w:t xml:space="preserve"> gjøres følgende endringer</w:t>
      </w:r>
      <w:r w:rsidRPr="00D67DCB">
        <w:rPr>
          <w:iCs/>
        </w:rPr>
        <w:t>:</w:t>
      </w:r>
    </w:p>
    <w:p w14:paraId="634868D3" w14:textId="77777777" w:rsidR="00824C58" w:rsidRPr="00CF0088" w:rsidRDefault="00000000" w:rsidP="00824C58">
      <w:pPr>
        <w:spacing w:after="0"/>
        <w:rPr>
          <w:i/>
        </w:rPr>
      </w:pPr>
      <w:r w:rsidRPr="00D67DCB">
        <w:rPr>
          <w:iCs/>
        </w:rPr>
        <w:t xml:space="preserve">§ 21 </w:t>
      </w:r>
      <w:r>
        <w:rPr>
          <w:iCs/>
        </w:rPr>
        <w:t>skal lyde</w:t>
      </w:r>
      <w:r w:rsidRPr="00D67DCB">
        <w:rPr>
          <w:iCs/>
        </w:rPr>
        <w:t>:</w:t>
      </w:r>
    </w:p>
    <w:p w14:paraId="6BEA51DF" w14:textId="77777777" w:rsidR="00824C58" w:rsidRDefault="00000000" w:rsidP="00824C58">
      <w:pPr>
        <w:spacing w:after="0"/>
        <w:rPr>
          <w:i/>
        </w:rPr>
      </w:pPr>
      <w:r w:rsidRPr="00CF0088">
        <w:rPr>
          <w:i/>
        </w:rPr>
        <w:t>Flyttbare innretninger kan frem til neste sertifikatutstedelse følge kravene som gjaldt ved siste sertifikatutstedelse så langt annet ikke følger av den enkelte paragrafen.</w:t>
      </w:r>
    </w:p>
    <w:p w14:paraId="1753D572" w14:textId="77777777" w:rsidR="00824C58" w:rsidRPr="00CF0088" w:rsidRDefault="00824C58" w:rsidP="00824C58">
      <w:pPr>
        <w:spacing w:after="0"/>
        <w:rPr>
          <w:i/>
        </w:rPr>
      </w:pPr>
    </w:p>
    <w:p w14:paraId="06302C97" w14:textId="77777777" w:rsidR="00824C58" w:rsidRPr="00D67DCB" w:rsidRDefault="00000000" w:rsidP="00824C58">
      <w:pPr>
        <w:spacing w:after="0"/>
        <w:rPr>
          <w:iCs/>
        </w:rPr>
      </w:pPr>
      <w:r w:rsidRPr="00D67DCB">
        <w:rPr>
          <w:iCs/>
        </w:rPr>
        <w:t xml:space="preserve">Vedlegg I til forskriften oppheves. </w:t>
      </w:r>
    </w:p>
    <w:p w14:paraId="012B5CD9" w14:textId="77777777" w:rsidR="00824C58" w:rsidRDefault="00824C58" w:rsidP="00824C58">
      <w:pPr>
        <w:spacing w:after="0"/>
        <w:rPr>
          <w:b/>
          <w:bCs/>
        </w:rPr>
      </w:pPr>
    </w:p>
    <w:p w14:paraId="6D6B7E45" w14:textId="37E264FF" w:rsidR="00824C58" w:rsidRDefault="00000000" w:rsidP="00824C58">
      <w:pPr>
        <w:jc w:val="center"/>
        <w:rPr>
          <w:b/>
          <w:bCs/>
        </w:rPr>
      </w:pPr>
      <w:r>
        <w:rPr>
          <w:b/>
          <w:bCs/>
        </w:rPr>
        <w:t>VIII</w:t>
      </w:r>
    </w:p>
    <w:p w14:paraId="4FD80896" w14:textId="77777777" w:rsidR="00824C58" w:rsidRPr="00D67DCB" w:rsidRDefault="00000000" w:rsidP="00824C58">
      <w:pPr>
        <w:rPr>
          <w:iCs/>
        </w:rPr>
      </w:pPr>
      <w:r>
        <w:rPr>
          <w:iCs/>
        </w:rPr>
        <w:t>I</w:t>
      </w:r>
      <w:r w:rsidRPr="00D67DCB">
        <w:rPr>
          <w:iCs/>
        </w:rPr>
        <w:t xml:space="preserve"> forskrift 2. februar 2016 nr. 90 om evakuerings- og redningsredskaper på flyttbare innretninger</w:t>
      </w:r>
      <w:r>
        <w:rPr>
          <w:iCs/>
        </w:rPr>
        <w:t xml:space="preserve"> gjøres følgende endringer</w:t>
      </w:r>
      <w:r w:rsidRPr="00D67DCB">
        <w:rPr>
          <w:iCs/>
        </w:rPr>
        <w:t>:</w:t>
      </w:r>
    </w:p>
    <w:p w14:paraId="2DCE5582" w14:textId="77777777" w:rsidR="00824C58" w:rsidRPr="00D67DCB" w:rsidRDefault="00000000" w:rsidP="00824C58">
      <w:pPr>
        <w:spacing w:after="0"/>
        <w:jc w:val="both"/>
        <w:rPr>
          <w:iCs/>
        </w:rPr>
      </w:pPr>
      <w:r>
        <w:rPr>
          <w:iCs/>
        </w:rPr>
        <w:t>§ 38 skal lyde</w:t>
      </w:r>
      <w:r w:rsidRPr="00D67DCB">
        <w:rPr>
          <w:iCs/>
        </w:rPr>
        <w:t>:</w:t>
      </w:r>
    </w:p>
    <w:p w14:paraId="5FB32F18" w14:textId="77777777" w:rsidR="00824C58" w:rsidRPr="00CF0088" w:rsidRDefault="00000000" w:rsidP="00824C58">
      <w:pPr>
        <w:spacing w:after="0"/>
        <w:rPr>
          <w:i/>
        </w:rPr>
      </w:pPr>
      <w:r w:rsidRPr="00CF0088">
        <w:rPr>
          <w:i/>
        </w:rPr>
        <w:t>Flyttbare innretninger kan frem til neste sertifikatutstedelse følge kravene som gjaldt ved siste sertifikatutstedelse så langt annet ikke følger av den enkelte paragrafen.</w:t>
      </w:r>
    </w:p>
    <w:p w14:paraId="7822A7DF" w14:textId="77777777" w:rsidR="00824C58" w:rsidRPr="00D67DCB" w:rsidRDefault="00824C58" w:rsidP="00824C58">
      <w:pPr>
        <w:spacing w:after="0"/>
        <w:rPr>
          <w:iCs/>
        </w:rPr>
      </w:pPr>
    </w:p>
    <w:p w14:paraId="648F1563" w14:textId="77777777" w:rsidR="00824C58" w:rsidRPr="009018E4" w:rsidRDefault="00000000" w:rsidP="00824C58">
      <w:pPr>
        <w:spacing w:after="0"/>
        <w:jc w:val="both"/>
        <w:rPr>
          <w:iCs/>
        </w:rPr>
      </w:pPr>
      <w:r w:rsidRPr="00D67DCB">
        <w:rPr>
          <w:iCs/>
        </w:rPr>
        <w:t xml:space="preserve">Vedlegg I til forskriften oppheves. </w:t>
      </w:r>
    </w:p>
    <w:p w14:paraId="40D4367D" w14:textId="437F745B" w:rsidR="00824C58" w:rsidRPr="0080317C" w:rsidRDefault="00824C58" w:rsidP="00824C58">
      <w:pPr>
        <w:spacing w:after="0" w:line="240" w:lineRule="auto"/>
        <w:textAlignment w:val="baseline"/>
        <w:rPr>
          <w:rFonts w:eastAsia="Times New Roman" w:cstheme="minorHAnsi"/>
          <w:kern w:val="0"/>
          <w:lang w:eastAsia="nb-NO"/>
          <w14:ligatures w14:val="none"/>
        </w:rPr>
      </w:pPr>
    </w:p>
    <w:p w14:paraId="0A9CB3A8" w14:textId="77777777" w:rsidR="00CE0AF5" w:rsidRPr="00254C4B" w:rsidRDefault="00CE0AF5" w:rsidP="001E5525">
      <w:pPr>
        <w:rPr>
          <w:sz w:val="18"/>
          <w:szCs w:val="18"/>
        </w:rPr>
      </w:pPr>
    </w:p>
    <w:p w14:paraId="27230937" w14:textId="633CA1A2" w:rsidR="00290DA6" w:rsidRPr="00290DA6" w:rsidRDefault="00000000" w:rsidP="00290DA6">
      <w:pPr>
        <w:jc w:val="center"/>
        <w:rPr>
          <w:b/>
          <w:bCs/>
        </w:rPr>
      </w:pPr>
      <w:r>
        <w:rPr>
          <w:b/>
          <w:bCs/>
        </w:rPr>
        <w:lastRenderedPageBreak/>
        <w:t>I</w:t>
      </w:r>
      <w:r w:rsidR="00AE595E">
        <w:rPr>
          <w:b/>
          <w:bCs/>
        </w:rPr>
        <w:t>X</w:t>
      </w:r>
    </w:p>
    <w:p w14:paraId="072CFF4D" w14:textId="27F9B8C5" w:rsidR="00290DA6" w:rsidRDefault="00000000" w:rsidP="00B87148">
      <w:pPr>
        <w:spacing w:after="0"/>
        <w:rPr>
          <w:iCs/>
        </w:rPr>
      </w:pPr>
      <w:r>
        <w:rPr>
          <w:iCs/>
        </w:rPr>
        <w:t>I</w:t>
      </w:r>
      <w:r w:rsidRPr="00D67DCB">
        <w:rPr>
          <w:iCs/>
        </w:rPr>
        <w:t xml:space="preserve"> forskrift 21.</w:t>
      </w:r>
      <w:r w:rsidR="000E11D0">
        <w:rPr>
          <w:iCs/>
        </w:rPr>
        <w:t xml:space="preserve"> </w:t>
      </w:r>
      <w:r w:rsidRPr="00D67DCB">
        <w:rPr>
          <w:iCs/>
        </w:rPr>
        <w:t>desember 2017 nr. 2381 om kran og løft på flyttbare innretninger</w:t>
      </w:r>
      <w:r>
        <w:rPr>
          <w:iCs/>
        </w:rPr>
        <w:t xml:space="preserve"> gjøres følgende endringer: </w:t>
      </w:r>
    </w:p>
    <w:p w14:paraId="43FA59D7" w14:textId="77777777" w:rsidR="00B87148" w:rsidRDefault="00B87148" w:rsidP="00B87148">
      <w:pPr>
        <w:spacing w:after="0"/>
        <w:rPr>
          <w:iCs/>
        </w:rPr>
      </w:pPr>
    </w:p>
    <w:p w14:paraId="2CA6C4C0" w14:textId="55ADB56F" w:rsidR="00B87148" w:rsidRDefault="00000000" w:rsidP="00B87148">
      <w:pPr>
        <w:spacing w:after="0"/>
        <w:rPr>
          <w:iCs/>
        </w:rPr>
      </w:pPr>
      <w:r>
        <w:rPr>
          <w:iCs/>
        </w:rPr>
        <w:t xml:space="preserve">§ 27 skal lyde: </w:t>
      </w:r>
    </w:p>
    <w:p w14:paraId="6765A133" w14:textId="7C5171CD" w:rsidR="00B87148" w:rsidRDefault="00000000" w:rsidP="00B87148">
      <w:pPr>
        <w:spacing w:after="0"/>
        <w:rPr>
          <w:i/>
        </w:rPr>
      </w:pPr>
      <w:r w:rsidRPr="00B87148">
        <w:rPr>
          <w:i/>
        </w:rPr>
        <w:t>Flyttbare innretninger kan frem til neste sertifikatutstedelse følge kravene som gjaldt ved siste sertifikatutstedelse så langt annet ikke følger av den enkelte paragrafen</w:t>
      </w:r>
      <w:r w:rsidR="00A94905">
        <w:rPr>
          <w:i/>
        </w:rPr>
        <w:t>.</w:t>
      </w:r>
    </w:p>
    <w:p w14:paraId="401745B4" w14:textId="77777777" w:rsidR="00B87148" w:rsidRPr="00B87148" w:rsidRDefault="00B87148" w:rsidP="00B87148">
      <w:pPr>
        <w:spacing w:after="0"/>
        <w:rPr>
          <w:i/>
        </w:rPr>
      </w:pPr>
    </w:p>
    <w:p w14:paraId="19C390EB" w14:textId="1BEA1D0A" w:rsidR="009018E4" w:rsidRPr="007A4424" w:rsidRDefault="00000000" w:rsidP="007A4424">
      <w:pPr>
        <w:rPr>
          <w:iCs/>
        </w:rPr>
      </w:pPr>
      <w:r w:rsidRPr="00D67DCB">
        <w:rPr>
          <w:iCs/>
        </w:rPr>
        <w:t>Vedlegg I til forskriften oppheves.</w:t>
      </w:r>
    </w:p>
    <w:p w14:paraId="11CAA79F" w14:textId="77777777" w:rsidR="0080317C" w:rsidRDefault="0080317C" w:rsidP="00E20717">
      <w:pPr>
        <w:jc w:val="center"/>
        <w:rPr>
          <w:b/>
          <w:bCs/>
        </w:rPr>
      </w:pPr>
    </w:p>
    <w:p w14:paraId="3223DF77" w14:textId="2811A7F5" w:rsidR="00821CD0" w:rsidRPr="00E20717" w:rsidRDefault="00000000" w:rsidP="00E20717">
      <w:pPr>
        <w:jc w:val="center"/>
        <w:rPr>
          <w:b/>
          <w:bCs/>
        </w:rPr>
      </w:pPr>
      <w:r>
        <w:rPr>
          <w:b/>
          <w:bCs/>
        </w:rPr>
        <w:t>X</w:t>
      </w:r>
    </w:p>
    <w:p w14:paraId="46F354F9" w14:textId="753466C0" w:rsidR="00A14612" w:rsidRPr="000D227B" w:rsidRDefault="00000000" w:rsidP="000D227B">
      <w:pPr>
        <w:rPr>
          <w:b/>
          <w:bCs/>
        </w:rPr>
      </w:pPr>
      <w:r>
        <w:t>Forskriften trer i kraft straks.</w:t>
      </w:r>
    </w:p>
    <w:sectPr w:rsidR="00A14612" w:rsidRPr="000D22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7EA2"/>
    <w:multiLevelType w:val="hybridMultilevel"/>
    <w:tmpl w:val="74346D5A"/>
    <w:lvl w:ilvl="0" w:tplc="3A484A5A">
      <w:start w:val="1"/>
      <w:numFmt w:val="lowerLetter"/>
      <w:lvlText w:val="%1."/>
      <w:lvlJc w:val="left"/>
      <w:pPr>
        <w:ind w:left="720" w:hanging="360"/>
      </w:pPr>
      <w:rPr>
        <w:rFonts w:hint="default"/>
      </w:rPr>
    </w:lvl>
    <w:lvl w:ilvl="1" w:tplc="CE4E1044" w:tentative="1">
      <w:start w:val="1"/>
      <w:numFmt w:val="lowerLetter"/>
      <w:lvlText w:val="%2."/>
      <w:lvlJc w:val="left"/>
      <w:pPr>
        <w:ind w:left="1440" w:hanging="360"/>
      </w:pPr>
    </w:lvl>
    <w:lvl w:ilvl="2" w:tplc="5C3E3B82" w:tentative="1">
      <w:start w:val="1"/>
      <w:numFmt w:val="lowerRoman"/>
      <w:lvlText w:val="%3."/>
      <w:lvlJc w:val="right"/>
      <w:pPr>
        <w:ind w:left="2160" w:hanging="180"/>
      </w:pPr>
    </w:lvl>
    <w:lvl w:ilvl="3" w:tplc="4634C624" w:tentative="1">
      <w:start w:val="1"/>
      <w:numFmt w:val="decimal"/>
      <w:lvlText w:val="%4."/>
      <w:lvlJc w:val="left"/>
      <w:pPr>
        <w:ind w:left="2880" w:hanging="360"/>
      </w:pPr>
    </w:lvl>
    <w:lvl w:ilvl="4" w:tplc="F4BC63A6" w:tentative="1">
      <w:start w:val="1"/>
      <w:numFmt w:val="lowerLetter"/>
      <w:lvlText w:val="%5."/>
      <w:lvlJc w:val="left"/>
      <w:pPr>
        <w:ind w:left="3600" w:hanging="360"/>
      </w:pPr>
    </w:lvl>
    <w:lvl w:ilvl="5" w:tplc="4F945B7C" w:tentative="1">
      <w:start w:val="1"/>
      <w:numFmt w:val="lowerRoman"/>
      <w:lvlText w:val="%6."/>
      <w:lvlJc w:val="right"/>
      <w:pPr>
        <w:ind w:left="4320" w:hanging="180"/>
      </w:pPr>
    </w:lvl>
    <w:lvl w:ilvl="6" w:tplc="0B2AA448" w:tentative="1">
      <w:start w:val="1"/>
      <w:numFmt w:val="decimal"/>
      <w:lvlText w:val="%7."/>
      <w:lvlJc w:val="left"/>
      <w:pPr>
        <w:ind w:left="5040" w:hanging="360"/>
      </w:pPr>
    </w:lvl>
    <w:lvl w:ilvl="7" w:tplc="00700C6E" w:tentative="1">
      <w:start w:val="1"/>
      <w:numFmt w:val="lowerLetter"/>
      <w:lvlText w:val="%8."/>
      <w:lvlJc w:val="left"/>
      <w:pPr>
        <w:ind w:left="5760" w:hanging="360"/>
      </w:pPr>
    </w:lvl>
    <w:lvl w:ilvl="8" w:tplc="43AC88D4" w:tentative="1">
      <w:start w:val="1"/>
      <w:numFmt w:val="lowerRoman"/>
      <w:lvlText w:val="%9."/>
      <w:lvlJc w:val="right"/>
      <w:pPr>
        <w:ind w:left="6480" w:hanging="180"/>
      </w:pPr>
    </w:lvl>
  </w:abstractNum>
  <w:abstractNum w:abstractNumId="1" w15:restartNumberingAfterBreak="0">
    <w:nsid w:val="4BB819C2"/>
    <w:multiLevelType w:val="hybridMultilevel"/>
    <w:tmpl w:val="2F02E100"/>
    <w:lvl w:ilvl="0" w:tplc="05B0A816">
      <w:start w:val="1"/>
      <w:numFmt w:val="decimal"/>
      <w:lvlText w:val="(%1)"/>
      <w:lvlJc w:val="left"/>
      <w:pPr>
        <w:ind w:left="720" w:hanging="360"/>
      </w:pPr>
      <w:rPr>
        <w:rFonts w:hint="default"/>
      </w:rPr>
    </w:lvl>
    <w:lvl w:ilvl="1" w:tplc="C05E62EE" w:tentative="1">
      <w:start w:val="1"/>
      <w:numFmt w:val="lowerLetter"/>
      <w:lvlText w:val="%2."/>
      <w:lvlJc w:val="left"/>
      <w:pPr>
        <w:ind w:left="1440" w:hanging="360"/>
      </w:pPr>
    </w:lvl>
    <w:lvl w:ilvl="2" w:tplc="B51ECC7E" w:tentative="1">
      <w:start w:val="1"/>
      <w:numFmt w:val="lowerRoman"/>
      <w:lvlText w:val="%3."/>
      <w:lvlJc w:val="right"/>
      <w:pPr>
        <w:ind w:left="2160" w:hanging="180"/>
      </w:pPr>
    </w:lvl>
    <w:lvl w:ilvl="3" w:tplc="B6D6E628" w:tentative="1">
      <w:start w:val="1"/>
      <w:numFmt w:val="decimal"/>
      <w:lvlText w:val="%4."/>
      <w:lvlJc w:val="left"/>
      <w:pPr>
        <w:ind w:left="2880" w:hanging="360"/>
      </w:pPr>
    </w:lvl>
    <w:lvl w:ilvl="4" w:tplc="0EBA4AAA" w:tentative="1">
      <w:start w:val="1"/>
      <w:numFmt w:val="lowerLetter"/>
      <w:lvlText w:val="%5."/>
      <w:lvlJc w:val="left"/>
      <w:pPr>
        <w:ind w:left="3600" w:hanging="360"/>
      </w:pPr>
    </w:lvl>
    <w:lvl w:ilvl="5" w:tplc="BF98D808" w:tentative="1">
      <w:start w:val="1"/>
      <w:numFmt w:val="lowerRoman"/>
      <w:lvlText w:val="%6."/>
      <w:lvlJc w:val="right"/>
      <w:pPr>
        <w:ind w:left="4320" w:hanging="180"/>
      </w:pPr>
    </w:lvl>
    <w:lvl w:ilvl="6" w:tplc="5950E68A" w:tentative="1">
      <w:start w:val="1"/>
      <w:numFmt w:val="decimal"/>
      <w:lvlText w:val="%7."/>
      <w:lvlJc w:val="left"/>
      <w:pPr>
        <w:ind w:left="5040" w:hanging="360"/>
      </w:pPr>
    </w:lvl>
    <w:lvl w:ilvl="7" w:tplc="D31EA1CE" w:tentative="1">
      <w:start w:val="1"/>
      <w:numFmt w:val="lowerLetter"/>
      <w:lvlText w:val="%8."/>
      <w:lvlJc w:val="left"/>
      <w:pPr>
        <w:ind w:left="5760" w:hanging="360"/>
      </w:pPr>
    </w:lvl>
    <w:lvl w:ilvl="8" w:tplc="E656EFEA" w:tentative="1">
      <w:start w:val="1"/>
      <w:numFmt w:val="lowerRoman"/>
      <w:lvlText w:val="%9."/>
      <w:lvlJc w:val="right"/>
      <w:pPr>
        <w:ind w:left="6480" w:hanging="180"/>
      </w:pPr>
    </w:lvl>
  </w:abstractNum>
  <w:abstractNum w:abstractNumId="2" w15:restartNumberingAfterBreak="0">
    <w:nsid w:val="7F5C4F5C"/>
    <w:multiLevelType w:val="hybridMultilevel"/>
    <w:tmpl w:val="DA94FEF8"/>
    <w:lvl w:ilvl="0" w:tplc="433A86FA">
      <w:start w:val="1"/>
      <w:numFmt w:val="lowerLetter"/>
      <w:lvlText w:val="%1)"/>
      <w:lvlJc w:val="left"/>
      <w:pPr>
        <w:ind w:left="720" w:hanging="360"/>
      </w:pPr>
      <w:rPr>
        <w:rFonts w:hint="default"/>
      </w:rPr>
    </w:lvl>
    <w:lvl w:ilvl="1" w:tplc="906870FA" w:tentative="1">
      <w:start w:val="1"/>
      <w:numFmt w:val="lowerLetter"/>
      <w:lvlText w:val="%2."/>
      <w:lvlJc w:val="left"/>
      <w:pPr>
        <w:ind w:left="1440" w:hanging="360"/>
      </w:pPr>
    </w:lvl>
    <w:lvl w:ilvl="2" w:tplc="C90ED1F2" w:tentative="1">
      <w:start w:val="1"/>
      <w:numFmt w:val="lowerRoman"/>
      <w:lvlText w:val="%3."/>
      <w:lvlJc w:val="right"/>
      <w:pPr>
        <w:ind w:left="2160" w:hanging="180"/>
      </w:pPr>
    </w:lvl>
    <w:lvl w:ilvl="3" w:tplc="ACA4B4E8" w:tentative="1">
      <w:start w:val="1"/>
      <w:numFmt w:val="decimal"/>
      <w:lvlText w:val="%4."/>
      <w:lvlJc w:val="left"/>
      <w:pPr>
        <w:ind w:left="2880" w:hanging="360"/>
      </w:pPr>
    </w:lvl>
    <w:lvl w:ilvl="4" w:tplc="CAF6F5F6" w:tentative="1">
      <w:start w:val="1"/>
      <w:numFmt w:val="lowerLetter"/>
      <w:lvlText w:val="%5."/>
      <w:lvlJc w:val="left"/>
      <w:pPr>
        <w:ind w:left="3600" w:hanging="360"/>
      </w:pPr>
    </w:lvl>
    <w:lvl w:ilvl="5" w:tplc="5E74F80C" w:tentative="1">
      <w:start w:val="1"/>
      <w:numFmt w:val="lowerRoman"/>
      <w:lvlText w:val="%6."/>
      <w:lvlJc w:val="right"/>
      <w:pPr>
        <w:ind w:left="4320" w:hanging="180"/>
      </w:pPr>
    </w:lvl>
    <w:lvl w:ilvl="6" w:tplc="68145B86" w:tentative="1">
      <w:start w:val="1"/>
      <w:numFmt w:val="decimal"/>
      <w:lvlText w:val="%7."/>
      <w:lvlJc w:val="left"/>
      <w:pPr>
        <w:ind w:left="5040" w:hanging="360"/>
      </w:pPr>
    </w:lvl>
    <w:lvl w:ilvl="7" w:tplc="C1DEEA46" w:tentative="1">
      <w:start w:val="1"/>
      <w:numFmt w:val="lowerLetter"/>
      <w:lvlText w:val="%8."/>
      <w:lvlJc w:val="left"/>
      <w:pPr>
        <w:ind w:left="5760" w:hanging="360"/>
      </w:pPr>
    </w:lvl>
    <w:lvl w:ilvl="8" w:tplc="2472939E" w:tentative="1">
      <w:start w:val="1"/>
      <w:numFmt w:val="lowerRoman"/>
      <w:lvlText w:val="%9."/>
      <w:lvlJc w:val="right"/>
      <w:pPr>
        <w:ind w:left="6480" w:hanging="180"/>
      </w:pPr>
    </w:lvl>
  </w:abstractNum>
  <w:num w:numId="1" w16cid:durableId="1765884474">
    <w:abstractNumId w:val="2"/>
  </w:num>
  <w:num w:numId="2" w16cid:durableId="1797941204">
    <w:abstractNumId w:val="1"/>
  </w:num>
  <w:num w:numId="3" w16cid:durableId="255139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A6"/>
    <w:rsid w:val="00045EBE"/>
    <w:rsid w:val="00060ECB"/>
    <w:rsid w:val="000700FC"/>
    <w:rsid w:val="000D227B"/>
    <w:rsid w:val="000E11D0"/>
    <w:rsid w:val="000F1A05"/>
    <w:rsid w:val="000F552D"/>
    <w:rsid w:val="00134668"/>
    <w:rsid w:val="001629C1"/>
    <w:rsid w:val="00170971"/>
    <w:rsid w:val="00170ED5"/>
    <w:rsid w:val="00180A50"/>
    <w:rsid w:val="00192864"/>
    <w:rsid w:val="001E5525"/>
    <w:rsid w:val="001E75FE"/>
    <w:rsid w:val="00254C4B"/>
    <w:rsid w:val="00261E99"/>
    <w:rsid w:val="0028531D"/>
    <w:rsid w:val="00290DA6"/>
    <w:rsid w:val="002A6028"/>
    <w:rsid w:val="00324AB7"/>
    <w:rsid w:val="003B02C0"/>
    <w:rsid w:val="004160D1"/>
    <w:rsid w:val="004375DD"/>
    <w:rsid w:val="004504E1"/>
    <w:rsid w:val="00457CCE"/>
    <w:rsid w:val="004629DE"/>
    <w:rsid w:val="0047747C"/>
    <w:rsid w:val="0048075F"/>
    <w:rsid w:val="004857A6"/>
    <w:rsid w:val="004A5D28"/>
    <w:rsid w:val="00512A01"/>
    <w:rsid w:val="00536F4F"/>
    <w:rsid w:val="0056116D"/>
    <w:rsid w:val="005933FA"/>
    <w:rsid w:val="00593FCF"/>
    <w:rsid w:val="005C41E5"/>
    <w:rsid w:val="006145DB"/>
    <w:rsid w:val="006250FC"/>
    <w:rsid w:val="00661792"/>
    <w:rsid w:val="00683E7B"/>
    <w:rsid w:val="00687D28"/>
    <w:rsid w:val="006B1209"/>
    <w:rsid w:val="00710879"/>
    <w:rsid w:val="00762D58"/>
    <w:rsid w:val="00784FB3"/>
    <w:rsid w:val="007A4424"/>
    <w:rsid w:val="007F229E"/>
    <w:rsid w:val="0080317C"/>
    <w:rsid w:val="0081355F"/>
    <w:rsid w:val="0081724F"/>
    <w:rsid w:val="00821CD0"/>
    <w:rsid w:val="00824C58"/>
    <w:rsid w:val="00835D0C"/>
    <w:rsid w:val="008F7339"/>
    <w:rsid w:val="009018E4"/>
    <w:rsid w:val="00912006"/>
    <w:rsid w:val="00930B4C"/>
    <w:rsid w:val="009404F9"/>
    <w:rsid w:val="009D4B1D"/>
    <w:rsid w:val="00A14612"/>
    <w:rsid w:val="00A23B2D"/>
    <w:rsid w:val="00A319DC"/>
    <w:rsid w:val="00A462FA"/>
    <w:rsid w:val="00A86C1F"/>
    <w:rsid w:val="00A944A4"/>
    <w:rsid w:val="00A94905"/>
    <w:rsid w:val="00AE595E"/>
    <w:rsid w:val="00B0595E"/>
    <w:rsid w:val="00B1168E"/>
    <w:rsid w:val="00B87148"/>
    <w:rsid w:val="00BF7249"/>
    <w:rsid w:val="00C01559"/>
    <w:rsid w:val="00C10C51"/>
    <w:rsid w:val="00C342FE"/>
    <w:rsid w:val="00C878DB"/>
    <w:rsid w:val="00CD21D2"/>
    <w:rsid w:val="00CE0AF5"/>
    <w:rsid w:val="00CE306F"/>
    <w:rsid w:val="00CE5F0F"/>
    <w:rsid w:val="00CF0088"/>
    <w:rsid w:val="00D320ED"/>
    <w:rsid w:val="00D67DCB"/>
    <w:rsid w:val="00DC1723"/>
    <w:rsid w:val="00DF35E2"/>
    <w:rsid w:val="00E15598"/>
    <w:rsid w:val="00E20717"/>
    <w:rsid w:val="00E6551E"/>
    <w:rsid w:val="00E87053"/>
    <w:rsid w:val="00EA39EA"/>
    <w:rsid w:val="00F00508"/>
    <w:rsid w:val="00F5685A"/>
    <w:rsid w:val="00F86B3C"/>
    <w:rsid w:val="00FC41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ECD5"/>
  <w15:chartTrackingRefBased/>
  <w15:docId w15:val="{7BEC89D8-CC14-46A0-B515-18C4C48F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2F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290DA6"/>
    <w:rPr>
      <w:sz w:val="16"/>
      <w:szCs w:val="16"/>
    </w:rPr>
  </w:style>
  <w:style w:type="paragraph" w:styleId="Merknadstekst">
    <w:name w:val="annotation text"/>
    <w:basedOn w:val="Normal"/>
    <w:link w:val="MerknadstekstTegn"/>
    <w:uiPriority w:val="99"/>
    <w:unhideWhenUsed/>
    <w:rsid w:val="00290DA6"/>
    <w:pPr>
      <w:spacing w:line="240" w:lineRule="auto"/>
    </w:pPr>
    <w:rPr>
      <w:sz w:val="20"/>
      <w:szCs w:val="20"/>
    </w:rPr>
  </w:style>
  <w:style w:type="character" w:customStyle="1" w:styleId="MerknadstekstTegn">
    <w:name w:val="Merknadstekst Tegn"/>
    <w:basedOn w:val="Standardskriftforavsnitt"/>
    <w:link w:val="Merknadstekst"/>
    <w:uiPriority w:val="99"/>
    <w:rsid w:val="00290DA6"/>
    <w:rPr>
      <w:sz w:val="20"/>
      <w:szCs w:val="20"/>
    </w:rPr>
  </w:style>
  <w:style w:type="paragraph" w:styleId="Kommentaremne">
    <w:name w:val="annotation subject"/>
    <w:basedOn w:val="Merknadstekst"/>
    <w:next w:val="Merknadstekst"/>
    <w:link w:val="KommentaremneTegn"/>
    <w:uiPriority w:val="99"/>
    <w:semiHidden/>
    <w:unhideWhenUsed/>
    <w:rsid w:val="00290DA6"/>
    <w:rPr>
      <w:b/>
      <w:bCs/>
    </w:rPr>
  </w:style>
  <w:style w:type="character" w:customStyle="1" w:styleId="KommentaremneTegn">
    <w:name w:val="Kommentaremne Tegn"/>
    <w:basedOn w:val="MerknadstekstTegn"/>
    <w:link w:val="Kommentaremne"/>
    <w:uiPriority w:val="99"/>
    <w:semiHidden/>
    <w:rsid w:val="00290DA6"/>
    <w:rPr>
      <w:b/>
      <w:bCs/>
      <w:sz w:val="20"/>
      <w:szCs w:val="20"/>
    </w:rPr>
  </w:style>
  <w:style w:type="paragraph" w:styleId="Listeavsnitt">
    <w:name w:val="List Paragraph"/>
    <w:basedOn w:val="Normal"/>
    <w:uiPriority w:val="34"/>
    <w:qFormat/>
    <w:rsid w:val="00C342FE"/>
    <w:pPr>
      <w:spacing w:after="0" w:line="240" w:lineRule="auto"/>
      <w:ind w:left="720"/>
      <w:contextualSpacing/>
    </w:pPr>
    <w:rPr>
      <w:rFonts w:ascii="Times New Roman" w:eastAsia="Times New Roman" w:hAnsi="Times New Roman" w:cs="Times New Roman"/>
      <w:kern w:val="0"/>
      <w:sz w:val="24"/>
      <w:szCs w:val="20"/>
      <w:lang w:eastAsia="nb-NO"/>
      <w14:ligatures w14:val="none"/>
    </w:rPr>
  </w:style>
  <w:style w:type="paragraph" w:customStyle="1" w:styleId="Default">
    <w:name w:val="Default"/>
    <w:rsid w:val="00821CD0"/>
    <w:pPr>
      <w:autoSpaceDE w:val="0"/>
      <w:autoSpaceDN w:val="0"/>
      <w:adjustRightInd w:val="0"/>
      <w:spacing w:after="0" w:line="240" w:lineRule="auto"/>
    </w:pPr>
    <w:rPr>
      <w:rFonts w:ascii="Calibri" w:hAnsi="Calibri" w:cs="Calibri"/>
      <w:color w:val="000000"/>
      <w:kern w:val="0"/>
      <w:sz w:val="24"/>
      <w:szCs w:val="24"/>
    </w:rPr>
  </w:style>
  <w:style w:type="paragraph" w:customStyle="1" w:styleId="paragraph">
    <w:name w:val="paragraph"/>
    <w:basedOn w:val="Normal"/>
    <w:rsid w:val="0080317C"/>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customStyle="1" w:styleId="normaltextrun">
    <w:name w:val="normaltextrun"/>
    <w:basedOn w:val="Standardskriftforavsnitt"/>
    <w:rsid w:val="0080317C"/>
  </w:style>
  <w:style w:type="character" w:customStyle="1" w:styleId="eop">
    <w:name w:val="eop"/>
    <w:basedOn w:val="Standardskriftforavsnitt"/>
    <w:rsid w:val="0080317C"/>
  </w:style>
  <w:style w:type="character" w:customStyle="1" w:styleId="tabchar">
    <w:name w:val="tabchar"/>
    <w:basedOn w:val="Standardskriftforavsnitt"/>
    <w:rsid w:val="0080317C"/>
  </w:style>
  <w:style w:type="paragraph" w:styleId="Revisjon">
    <w:name w:val="Revision"/>
    <w:hidden/>
    <w:uiPriority w:val="99"/>
    <w:semiHidden/>
    <w:rsid w:val="00CE0AF5"/>
    <w:pPr>
      <w:spacing w:after="0" w:line="240" w:lineRule="auto"/>
    </w:pPr>
  </w:style>
  <w:style w:type="paragraph" w:styleId="Topptekst">
    <w:name w:val="header"/>
    <w:basedOn w:val="Normal"/>
    <w:link w:val="TopptekstTegn"/>
    <w:uiPriority w:val="99"/>
    <w:unhideWhenUsed/>
    <w:rsid w:val="00593FC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93FCF"/>
  </w:style>
  <w:style w:type="paragraph" w:styleId="Bunntekst">
    <w:name w:val="footer"/>
    <w:basedOn w:val="Normal"/>
    <w:link w:val="BunntekstTegn"/>
    <w:uiPriority w:val="99"/>
    <w:unhideWhenUsed/>
    <w:rsid w:val="00593FC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93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726</Words>
  <Characters>3854</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Dehlin Fluvåg</dc:creator>
  <cp:lastModifiedBy>Ketil Jacob Andersen</cp:lastModifiedBy>
  <cp:revision>2</cp:revision>
  <cp:lastPrinted>2023-10-02T10:12:00Z</cp:lastPrinted>
  <dcterms:created xsi:type="dcterms:W3CDTF">2024-02-16T08:41:00Z</dcterms:created>
  <dcterms:modified xsi:type="dcterms:W3CDTF">2024-02-16T08:41:00Z</dcterms:modified>
</cp:coreProperties>
</file>