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E8DB" w14:textId="77777777" w:rsidR="00B82F71" w:rsidRDefault="00B82F71" w:rsidP="00C06297">
      <w:pPr>
        <w:spacing w:before="1"/>
        <w:ind w:left="567" w:right="850"/>
        <w:rPr>
          <w:rFonts w:ascii="Times New Roman" w:eastAsia="Times New Roman" w:hAnsi="Times New Roman" w:cs="Times New Roman"/>
          <w:sz w:val="6"/>
          <w:szCs w:val="6"/>
        </w:rPr>
      </w:pPr>
    </w:p>
    <w:p w14:paraId="0C8A08FB" w14:textId="77777777" w:rsidR="00B82F71" w:rsidRDefault="00B82F71" w:rsidP="00C06297">
      <w:pPr>
        <w:spacing w:line="200" w:lineRule="atLeast"/>
        <w:ind w:left="567" w:right="850"/>
        <w:rPr>
          <w:rFonts w:ascii="Times New Roman" w:eastAsia="Times New Roman" w:hAnsi="Times New Roman" w:cs="Times New Roman"/>
          <w:sz w:val="20"/>
          <w:szCs w:val="20"/>
        </w:rPr>
      </w:pPr>
    </w:p>
    <w:p w14:paraId="26873C8F" w14:textId="77777777" w:rsidR="00B82F71" w:rsidRDefault="00B82F71" w:rsidP="00C06297">
      <w:pPr>
        <w:spacing w:before="3"/>
        <w:ind w:left="567" w:right="850"/>
        <w:rPr>
          <w:rFonts w:ascii="Times New Roman" w:eastAsia="Times New Roman" w:hAnsi="Times New Roman" w:cs="Times New Roman"/>
          <w:sz w:val="8"/>
          <w:szCs w:val="8"/>
        </w:rPr>
      </w:pPr>
    </w:p>
    <w:p w14:paraId="2D2AF658" w14:textId="77777777" w:rsidR="00B82F71" w:rsidRDefault="00C06297" w:rsidP="00C06297">
      <w:pPr>
        <w:pStyle w:val="Overskrift1"/>
        <w:ind w:left="567" w:right="850"/>
        <w:jc w:val="center"/>
        <w:rPr>
          <w:b w:val="0"/>
          <w:bCs w:val="0"/>
        </w:rPr>
      </w:pPr>
      <w:r>
        <w:t>RESOLUSJON MSC.475(102)</w:t>
      </w:r>
    </w:p>
    <w:p w14:paraId="643950E1" w14:textId="77777777" w:rsidR="00B82F71" w:rsidRDefault="00C06297" w:rsidP="00C06297">
      <w:pPr>
        <w:spacing w:before="74"/>
        <w:ind w:left="567" w:right="850"/>
        <w:jc w:val="center"/>
        <w:rPr>
          <w:rFonts w:ascii="Verdana" w:eastAsia="Verdana" w:hAnsi="Verdana" w:cs="Verdana"/>
          <w:sz w:val="24"/>
          <w:szCs w:val="24"/>
        </w:rPr>
      </w:pPr>
      <w:r>
        <w:rPr>
          <w:rFonts w:ascii="Verdana"/>
          <w:b/>
          <w:sz w:val="24"/>
        </w:rPr>
        <w:t>(vedtatt torsdag onsdag 11.</w:t>
      </w:r>
      <w:r>
        <w:rPr>
          <w:rFonts w:ascii="Verdana"/>
          <w:b/>
          <w:sz w:val="24"/>
        </w:rPr>
        <w:t> </w:t>
      </w:r>
      <w:r>
        <w:rPr>
          <w:rFonts w:ascii="Verdana"/>
          <w:b/>
          <w:sz w:val="24"/>
        </w:rPr>
        <w:t>november 2020)</w:t>
      </w:r>
    </w:p>
    <w:p w14:paraId="05E0A973" w14:textId="77777777" w:rsidR="00B82F71" w:rsidRDefault="00C06297" w:rsidP="00C06297">
      <w:pPr>
        <w:pStyle w:val="Overskrift2"/>
        <w:spacing w:before="116" w:line="206" w:lineRule="exact"/>
        <w:ind w:left="567" w:right="850"/>
        <w:jc w:val="center"/>
        <w:rPr>
          <w:b w:val="0"/>
          <w:bCs w:val="0"/>
        </w:rPr>
      </w:pPr>
      <w:r>
        <w:t>ENDRINGER I DE INTERNASJONALE SIKKERHETSREGLENE FOR SKIP SOM BRUKER GASS ELLER ANDRE DRIVSTOFF MED LAVT FLAMMEPUNKT (IGF-KODEN)</w:t>
      </w:r>
    </w:p>
    <w:p w14:paraId="16D14EDC" w14:textId="77777777" w:rsidR="00B82F71" w:rsidRDefault="00B82F71" w:rsidP="00C06297">
      <w:pPr>
        <w:spacing w:before="3"/>
        <w:ind w:left="567" w:right="850"/>
        <w:rPr>
          <w:rFonts w:ascii="Verdana" w:eastAsia="Verdana" w:hAnsi="Verdana" w:cs="Verdana"/>
          <w:b/>
          <w:bCs/>
          <w:sz w:val="15"/>
          <w:szCs w:val="15"/>
        </w:rPr>
      </w:pPr>
    </w:p>
    <w:p w14:paraId="76CB1C98" w14:textId="77777777" w:rsidR="00B82F71" w:rsidRDefault="00B82F71" w:rsidP="00C06297">
      <w:pPr>
        <w:spacing w:before="5"/>
        <w:ind w:left="567" w:right="850"/>
        <w:rPr>
          <w:rFonts w:ascii="Verdana" w:eastAsia="Verdana" w:hAnsi="Verdana" w:cs="Verdana"/>
          <w:sz w:val="15"/>
          <w:szCs w:val="15"/>
        </w:rPr>
      </w:pPr>
    </w:p>
    <w:p w14:paraId="6914E8C7" w14:textId="77777777" w:rsidR="00C06297" w:rsidRDefault="00C06297" w:rsidP="00C06297">
      <w:pPr>
        <w:spacing w:before="5"/>
        <w:ind w:left="567" w:right="850"/>
        <w:rPr>
          <w:rFonts w:ascii="Verdana" w:eastAsia="Verdana" w:hAnsi="Verdana" w:cs="Verdana"/>
          <w:sz w:val="15"/>
          <w:szCs w:val="15"/>
        </w:rPr>
      </w:pPr>
    </w:p>
    <w:p w14:paraId="62331A58" w14:textId="77777777" w:rsidR="00C06297" w:rsidRDefault="00C06297" w:rsidP="00C06297">
      <w:pPr>
        <w:spacing w:before="5"/>
        <w:ind w:left="567" w:right="850"/>
        <w:rPr>
          <w:rFonts w:ascii="Verdana" w:eastAsia="Verdana" w:hAnsi="Verdana" w:cs="Verdana"/>
          <w:sz w:val="15"/>
          <w:szCs w:val="15"/>
        </w:rPr>
      </w:pPr>
    </w:p>
    <w:p w14:paraId="5D868C11" w14:textId="77777777" w:rsidR="00B82F71" w:rsidRDefault="00C06297" w:rsidP="00C06297">
      <w:pPr>
        <w:pStyle w:val="Overskrift2"/>
        <w:ind w:left="567" w:right="850"/>
        <w:jc w:val="center"/>
        <w:rPr>
          <w:b w:val="0"/>
          <w:bCs w:val="0"/>
        </w:rPr>
      </w:pPr>
      <w:r>
        <w:t>VEDLEGG</w:t>
      </w:r>
    </w:p>
    <w:p w14:paraId="0DB849D0" w14:textId="77777777" w:rsidR="00B82F71" w:rsidRDefault="00B82F71" w:rsidP="00C06297">
      <w:pPr>
        <w:spacing w:before="4"/>
        <w:ind w:left="567" w:right="850"/>
        <w:rPr>
          <w:rFonts w:ascii="Verdana" w:eastAsia="Verdana" w:hAnsi="Verdana" w:cs="Verdana"/>
          <w:b/>
          <w:bCs/>
          <w:sz w:val="15"/>
          <w:szCs w:val="15"/>
        </w:rPr>
      </w:pPr>
    </w:p>
    <w:p w14:paraId="71F457AC" w14:textId="77777777" w:rsidR="00B82F71" w:rsidRDefault="00C06297" w:rsidP="00C06297">
      <w:pPr>
        <w:spacing w:line="206" w:lineRule="exact"/>
        <w:ind w:left="567" w:right="850"/>
        <w:jc w:val="center"/>
        <w:rPr>
          <w:rFonts w:ascii="Verdana" w:eastAsia="Verdana" w:hAnsi="Verdana" w:cs="Verdana"/>
          <w:sz w:val="18"/>
          <w:szCs w:val="18"/>
        </w:rPr>
      </w:pPr>
      <w:r>
        <w:rPr>
          <w:rFonts w:ascii="Verdana" w:hAnsi="Verdana"/>
          <w:b/>
          <w:sz w:val="18"/>
        </w:rPr>
        <w:t>FORSLAG TIL ENDRINGER I DE INTERNASJONALE SIKKERHETSREGLENE FOR SKIP SOM BRUKER GASS ELLER ANDRE DRIVSTOFF MED LAVT FLAMMEPUNKT (IGF-KODEN)</w:t>
      </w:r>
    </w:p>
    <w:p w14:paraId="45D45AA5" w14:textId="77777777" w:rsidR="00B82F71" w:rsidRDefault="00B82F71" w:rsidP="00C06297">
      <w:pPr>
        <w:spacing w:before="3"/>
        <w:ind w:left="567" w:right="850"/>
        <w:rPr>
          <w:rFonts w:ascii="Verdana" w:eastAsia="Verdana" w:hAnsi="Verdana" w:cs="Verdana"/>
          <w:b/>
          <w:bCs/>
          <w:sz w:val="15"/>
          <w:szCs w:val="15"/>
        </w:rPr>
      </w:pPr>
    </w:p>
    <w:p w14:paraId="7EA63AD6" w14:textId="77777777" w:rsidR="00B82F71" w:rsidRDefault="00C06297" w:rsidP="00C06297">
      <w:pPr>
        <w:pStyle w:val="Overskrift3"/>
        <w:ind w:left="567" w:right="850"/>
        <w:jc w:val="center"/>
        <w:rPr>
          <w:b w:val="0"/>
          <w:bCs w:val="0"/>
        </w:rPr>
      </w:pPr>
      <w:r>
        <w:t>DEL A-1</w:t>
      </w:r>
    </w:p>
    <w:p w14:paraId="4A2C2E36" w14:textId="77777777" w:rsidR="00B82F71" w:rsidRDefault="00B82F71" w:rsidP="00C06297">
      <w:pPr>
        <w:spacing w:before="10"/>
        <w:ind w:left="567" w:right="850"/>
        <w:rPr>
          <w:rFonts w:ascii="Verdana" w:eastAsia="Verdana" w:hAnsi="Verdana" w:cs="Verdana"/>
          <w:b/>
          <w:bCs/>
          <w:sz w:val="18"/>
          <w:szCs w:val="18"/>
        </w:rPr>
      </w:pPr>
    </w:p>
    <w:p w14:paraId="1BF59ADF" w14:textId="77777777" w:rsidR="00B82F71" w:rsidRDefault="00C06297" w:rsidP="00C06297">
      <w:pPr>
        <w:spacing w:line="541" w:lineRule="auto"/>
        <w:ind w:left="567" w:right="850"/>
        <w:jc w:val="center"/>
        <w:rPr>
          <w:rFonts w:ascii="Verdana" w:eastAsia="Verdana" w:hAnsi="Verdana" w:cs="Verdana"/>
          <w:sz w:val="15"/>
          <w:szCs w:val="15"/>
        </w:rPr>
      </w:pPr>
      <w:r>
        <w:rPr>
          <w:rFonts w:ascii="Verdana" w:hAnsi="Verdana"/>
          <w:b/>
          <w:bCs/>
          <w:sz w:val="15"/>
          <w:szCs w:val="15"/>
        </w:rPr>
        <w:t>SÆRSKILTE KRAV TIL SKIP SOM BRUKER NATURGASS SOM DRIVSTOFF 6 – DRIVSTOFFTANKER MED TILHØRENDE SYSTEM</w:t>
      </w:r>
    </w:p>
    <w:p w14:paraId="38431AE7" w14:textId="77777777" w:rsidR="00B82F71" w:rsidRDefault="00C06297" w:rsidP="00C06297">
      <w:pPr>
        <w:ind w:left="567" w:right="850"/>
        <w:rPr>
          <w:rFonts w:ascii="Verdana" w:eastAsia="Verdana" w:hAnsi="Verdana" w:cs="Verdana"/>
          <w:sz w:val="15"/>
          <w:szCs w:val="15"/>
        </w:rPr>
      </w:pPr>
      <w:r>
        <w:rPr>
          <w:rFonts w:ascii="Verdana"/>
          <w:b/>
          <w:sz w:val="15"/>
        </w:rPr>
        <w:t>6.7 Regler for trykkavlastningssystem</w:t>
      </w:r>
    </w:p>
    <w:p w14:paraId="016BEB1C" w14:textId="77777777" w:rsidR="00B82F71" w:rsidRDefault="00B82F71" w:rsidP="00C06297">
      <w:pPr>
        <w:spacing w:before="10"/>
        <w:ind w:left="567" w:right="850"/>
        <w:rPr>
          <w:rFonts w:ascii="Verdana" w:eastAsia="Verdana" w:hAnsi="Verdana" w:cs="Verdana"/>
          <w:b/>
          <w:bCs/>
          <w:sz w:val="18"/>
          <w:szCs w:val="18"/>
        </w:rPr>
      </w:pPr>
    </w:p>
    <w:p w14:paraId="242746D3" w14:textId="77777777" w:rsidR="00B82F71" w:rsidRDefault="00C06297" w:rsidP="00C06297">
      <w:pPr>
        <w:pStyle w:val="Brdtekst"/>
        <w:numPr>
          <w:ilvl w:val="0"/>
          <w:numId w:val="1"/>
        </w:numPr>
        <w:tabs>
          <w:tab w:val="left" w:pos="265"/>
        </w:tabs>
        <w:ind w:left="567" w:right="850" w:hanging="147"/>
      </w:pPr>
      <w:r>
        <w:t>Regel 6.7.1.1 erstattes med følgende:</w:t>
      </w:r>
    </w:p>
    <w:p w14:paraId="11D4C23B" w14:textId="77777777" w:rsidR="00B82F71" w:rsidRDefault="00B82F71" w:rsidP="00C06297">
      <w:pPr>
        <w:spacing w:before="1"/>
        <w:ind w:left="567" w:right="850"/>
        <w:rPr>
          <w:rFonts w:ascii="Verdana" w:eastAsia="Verdana" w:hAnsi="Verdana" w:cs="Verdana"/>
          <w:sz w:val="15"/>
          <w:szCs w:val="15"/>
        </w:rPr>
      </w:pPr>
    </w:p>
    <w:p w14:paraId="2A2C0B8B" w14:textId="77777777" w:rsidR="00B82F71" w:rsidRDefault="00C06297" w:rsidP="00C06297">
      <w:pPr>
        <w:pStyle w:val="Brdtekst"/>
        <w:spacing w:line="270" w:lineRule="auto"/>
        <w:ind w:left="567" w:right="850"/>
      </w:pPr>
      <w:r>
        <w:t>"Alle drivstofftanker skal ha et trykkavlastningssystem tilpasset utformingen til drivstofftankene med tilhørende system og drivstoffet som fraktes. Tankrom, mellombarriererom og tanktilkoblingsrom som kan utsettes for trykk utover det de er konstruert for, skal også ha et passende trykkavlastningssystem. Trykkreguleringssystemer nevnt i 6.9 skal være uavhengige av trykkavlastningssystemene."</w:t>
      </w:r>
    </w:p>
    <w:p w14:paraId="76C394DE" w14:textId="77777777" w:rsidR="00B82F71" w:rsidRDefault="00B82F71" w:rsidP="00C06297">
      <w:pPr>
        <w:spacing w:before="11"/>
        <w:ind w:left="567" w:right="850"/>
        <w:rPr>
          <w:rFonts w:ascii="Verdana" w:eastAsia="Verdana" w:hAnsi="Verdana" w:cs="Verdana"/>
          <w:sz w:val="16"/>
          <w:szCs w:val="16"/>
        </w:rPr>
      </w:pPr>
    </w:p>
    <w:p w14:paraId="48330824" w14:textId="77777777" w:rsidR="00B82F71" w:rsidRDefault="00C06297" w:rsidP="00C06297">
      <w:pPr>
        <w:pStyle w:val="Overskrift3"/>
        <w:ind w:left="567" w:right="850"/>
        <w:rPr>
          <w:b w:val="0"/>
          <w:bCs w:val="0"/>
        </w:rPr>
      </w:pPr>
      <w:r>
        <w:t>11 – BRANNSIKKERHET</w:t>
      </w:r>
    </w:p>
    <w:p w14:paraId="68CC1622" w14:textId="77777777" w:rsidR="00B82F71" w:rsidRDefault="00B82F71" w:rsidP="00C06297">
      <w:pPr>
        <w:spacing w:before="10"/>
        <w:ind w:left="567" w:right="850"/>
        <w:rPr>
          <w:rFonts w:ascii="Verdana" w:eastAsia="Verdana" w:hAnsi="Verdana" w:cs="Verdana"/>
          <w:b/>
          <w:bCs/>
          <w:sz w:val="18"/>
          <w:szCs w:val="18"/>
        </w:rPr>
      </w:pPr>
    </w:p>
    <w:p w14:paraId="7879F402" w14:textId="77777777" w:rsidR="00B82F71" w:rsidRDefault="00C06297" w:rsidP="00C06297">
      <w:pPr>
        <w:pStyle w:val="Brdtekst"/>
        <w:numPr>
          <w:ilvl w:val="0"/>
          <w:numId w:val="1"/>
        </w:numPr>
        <w:tabs>
          <w:tab w:val="left" w:pos="265"/>
        </w:tabs>
        <w:ind w:left="567" w:right="850" w:hanging="147"/>
      </w:pPr>
      <w:r>
        <w:t>Følgende ny regel 11.8 tilføyes etter eksisterende regel 11.7:</w:t>
      </w:r>
    </w:p>
    <w:p w14:paraId="7992F2E0" w14:textId="77777777" w:rsidR="00B82F71" w:rsidRDefault="00B82F71" w:rsidP="00C06297">
      <w:pPr>
        <w:spacing w:before="1"/>
        <w:ind w:left="567" w:right="850"/>
        <w:rPr>
          <w:rFonts w:ascii="Verdana" w:eastAsia="Verdana" w:hAnsi="Verdana" w:cs="Verdana"/>
          <w:sz w:val="15"/>
          <w:szCs w:val="15"/>
        </w:rPr>
      </w:pPr>
    </w:p>
    <w:p w14:paraId="157C68D9" w14:textId="77777777" w:rsidR="00B82F71" w:rsidRDefault="00C06297" w:rsidP="00C06297">
      <w:pPr>
        <w:pStyle w:val="Overskrift3"/>
        <w:ind w:left="567" w:right="850"/>
        <w:rPr>
          <w:b w:val="0"/>
          <w:bCs w:val="0"/>
        </w:rPr>
      </w:pPr>
      <w:r>
        <w:t>"11.8 Regler for brannslokkingsanlegg i prosesseringsrom for drivstoff</w:t>
      </w:r>
    </w:p>
    <w:p w14:paraId="60CF0ED8" w14:textId="77777777" w:rsidR="00B82F71" w:rsidRDefault="00B82F71" w:rsidP="00C06297">
      <w:pPr>
        <w:spacing w:before="1"/>
        <w:ind w:left="567" w:right="850"/>
        <w:rPr>
          <w:rFonts w:ascii="Verdana" w:eastAsia="Verdana" w:hAnsi="Verdana" w:cs="Verdana"/>
          <w:b/>
          <w:bCs/>
          <w:sz w:val="15"/>
          <w:szCs w:val="15"/>
        </w:rPr>
      </w:pPr>
    </w:p>
    <w:p w14:paraId="02794F49" w14:textId="77777777" w:rsidR="00B82F71" w:rsidRDefault="00C06297" w:rsidP="00C06297">
      <w:pPr>
        <w:pStyle w:val="Brdtekst"/>
        <w:spacing w:line="270" w:lineRule="auto"/>
        <w:ind w:left="567" w:right="850"/>
      </w:pPr>
      <w:r>
        <w:t xml:space="preserve">For skip bygget 1. januar 2024 eller senere, skal prosesseringsrom for drivstoff med pumper, kompressorer eller andre mulige </w:t>
      </w:r>
      <w:proofErr w:type="spellStart"/>
      <w:r>
        <w:t>tennkilder</w:t>
      </w:r>
      <w:proofErr w:type="spellEnd"/>
      <w:r>
        <w:t xml:space="preserve"> ha fastmontert brannslokkingssystem som er i samsvar med kravene i SOLAS regel II-2/10.4.1.1, idet det tas hensyn til nødvendig konsentrasjoner/doseringsmengde for slukking av gassbranner."</w:t>
      </w:r>
    </w:p>
    <w:p w14:paraId="02E35CB2" w14:textId="77777777" w:rsidR="00B82F71" w:rsidRDefault="00B82F71" w:rsidP="00C06297">
      <w:pPr>
        <w:spacing w:before="11"/>
        <w:ind w:left="567" w:right="850"/>
        <w:rPr>
          <w:rFonts w:ascii="Verdana" w:eastAsia="Verdana" w:hAnsi="Verdana" w:cs="Verdana"/>
          <w:sz w:val="16"/>
          <w:szCs w:val="16"/>
        </w:rPr>
      </w:pPr>
    </w:p>
    <w:p w14:paraId="6767BC7B" w14:textId="77777777" w:rsidR="00B82F71" w:rsidRDefault="00C06297" w:rsidP="00C06297">
      <w:pPr>
        <w:pStyle w:val="Overskrift3"/>
        <w:ind w:left="567" w:right="850"/>
        <w:rPr>
          <w:b w:val="0"/>
          <w:bCs w:val="0"/>
        </w:rPr>
      </w:pPr>
      <w:r>
        <w:t>DEL B-1</w:t>
      </w:r>
    </w:p>
    <w:p w14:paraId="11B6A4C8" w14:textId="77777777" w:rsidR="00B82F71" w:rsidRDefault="00B82F71" w:rsidP="00C06297">
      <w:pPr>
        <w:spacing w:before="10"/>
        <w:ind w:left="567" w:right="850"/>
        <w:rPr>
          <w:rFonts w:ascii="Verdana" w:eastAsia="Verdana" w:hAnsi="Verdana" w:cs="Verdana"/>
          <w:b/>
          <w:bCs/>
          <w:sz w:val="18"/>
          <w:szCs w:val="18"/>
        </w:rPr>
      </w:pPr>
    </w:p>
    <w:p w14:paraId="26DC4049" w14:textId="77777777" w:rsidR="00B82F71" w:rsidRDefault="00C06297" w:rsidP="00C06297">
      <w:pPr>
        <w:ind w:left="567" w:right="850"/>
        <w:rPr>
          <w:rFonts w:ascii="Verdana" w:eastAsia="Verdana" w:hAnsi="Verdana" w:cs="Verdana"/>
          <w:sz w:val="15"/>
          <w:szCs w:val="15"/>
        </w:rPr>
      </w:pPr>
      <w:r>
        <w:rPr>
          <w:rFonts w:ascii="Verdana" w:hAnsi="Verdana"/>
          <w:b/>
          <w:bCs/>
          <w:sz w:val="15"/>
          <w:szCs w:val="15"/>
        </w:rPr>
        <w:t>16 – PRODUKSJON, UTFØRELSE OG PRØVING</w:t>
      </w:r>
    </w:p>
    <w:p w14:paraId="6A9AE9C3" w14:textId="77777777" w:rsidR="00B82F71" w:rsidRDefault="00B82F71" w:rsidP="00C06297">
      <w:pPr>
        <w:spacing w:before="10"/>
        <w:ind w:left="567" w:right="850"/>
        <w:rPr>
          <w:rFonts w:ascii="Verdana" w:eastAsia="Verdana" w:hAnsi="Verdana" w:cs="Verdana"/>
          <w:b/>
          <w:bCs/>
          <w:sz w:val="18"/>
          <w:szCs w:val="18"/>
        </w:rPr>
      </w:pPr>
    </w:p>
    <w:p w14:paraId="5406D559" w14:textId="77777777" w:rsidR="00B82F71" w:rsidRDefault="00C06297" w:rsidP="00C06297">
      <w:pPr>
        <w:ind w:left="567" w:right="850"/>
        <w:rPr>
          <w:rFonts w:ascii="Verdana" w:eastAsia="Verdana" w:hAnsi="Verdana" w:cs="Verdana"/>
          <w:sz w:val="15"/>
          <w:szCs w:val="15"/>
        </w:rPr>
      </w:pPr>
      <w:r>
        <w:rPr>
          <w:rFonts w:ascii="Verdana" w:hAnsi="Verdana"/>
          <w:b/>
          <w:sz w:val="15"/>
        </w:rPr>
        <w:t>16.3 Sveising av metalliske materialer og ikke-destruktiv prøving for drivstofftanker med tilhørende system</w:t>
      </w:r>
    </w:p>
    <w:p w14:paraId="2533ACAC" w14:textId="77777777" w:rsidR="00B82F71" w:rsidRDefault="00B82F71" w:rsidP="00C06297">
      <w:pPr>
        <w:spacing w:before="10"/>
        <w:ind w:left="567" w:right="850"/>
        <w:rPr>
          <w:rFonts w:ascii="Verdana" w:eastAsia="Verdana" w:hAnsi="Verdana" w:cs="Verdana"/>
          <w:b/>
          <w:bCs/>
          <w:sz w:val="18"/>
          <w:szCs w:val="18"/>
        </w:rPr>
      </w:pPr>
    </w:p>
    <w:p w14:paraId="4A740731" w14:textId="77777777" w:rsidR="00B82F71" w:rsidRDefault="00C06297" w:rsidP="00C06297">
      <w:pPr>
        <w:pStyle w:val="Brdtekst"/>
        <w:numPr>
          <w:ilvl w:val="0"/>
          <w:numId w:val="1"/>
        </w:numPr>
        <w:tabs>
          <w:tab w:val="left" w:pos="265"/>
        </w:tabs>
        <w:ind w:left="567" w:right="850" w:hanging="147"/>
      </w:pPr>
      <w:r>
        <w:t>Regel 16.3.3.5.1 erstattes med følgende:</w:t>
      </w:r>
    </w:p>
    <w:p w14:paraId="6044D24B" w14:textId="77777777" w:rsidR="00B82F71" w:rsidRDefault="00B82F71" w:rsidP="00C06297">
      <w:pPr>
        <w:spacing w:before="1"/>
        <w:ind w:left="567" w:right="850"/>
        <w:rPr>
          <w:rFonts w:ascii="Verdana" w:eastAsia="Verdana" w:hAnsi="Verdana" w:cs="Verdana"/>
          <w:sz w:val="15"/>
          <w:szCs w:val="15"/>
        </w:rPr>
      </w:pPr>
    </w:p>
    <w:p w14:paraId="4B446BE0" w14:textId="0C22D11F" w:rsidR="00B82F71" w:rsidRDefault="00C06297" w:rsidP="00C06297">
      <w:pPr>
        <w:pStyle w:val="Brdtekst"/>
        <w:ind w:left="567" w:right="851"/>
      </w:pPr>
      <w:r>
        <w:t>".1 strekkprøving: strekkfastheten på tvers av sveisesømmen skal ikke være mindre enn spesifisert minimum strekkfasthet for det aktuelle grunnmaterialet. For materialer som aluminiumslegeringer, se 6.4.12.1.1.3 når det gjelder regler for fasthet for sveisemetall for sveisesømmer der sveisemetallet har lavere strekkfasthet enn grunnmaterialet (under-</w:t>
      </w:r>
      <w:proofErr w:type="spellStart"/>
      <w:r>
        <w:t>matched</w:t>
      </w:r>
      <w:proofErr w:type="spellEnd"/>
      <w:r>
        <w:t>). I alle tilfeller skal bruddets plassering noteres til informasjon,"</w:t>
      </w:r>
    </w:p>
    <w:p w14:paraId="1AEB480B" w14:textId="77777777" w:rsidR="00B82F71" w:rsidRDefault="00C06297" w:rsidP="00C06297">
      <w:pPr>
        <w:pStyle w:val="Overskrift2"/>
        <w:ind w:left="567" w:right="850"/>
        <w:jc w:val="center"/>
        <w:rPr>
          <w:b w:val="0"/>
          <w:bCs w:val="0"/>
        </w:rPr>
      </w:pPr>
      <w:r>
        <w:t>***</w:t>
      </w:r>
    </w:p>
    <w:sectPr w:rsidR="00B82F71">
      <w:pgSz w:w="11900" w:h="16840"/>
      <w:pgMar w:top="640" w:right="0" w:bottom="28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C0FED"/>
    <w:multiLevelType w:val="hybridMultilevel"/>
    <w:tmpl w:val="39C4A6EE"/>
    <w:lvl w:ilvl="0" w:tplc="7AD2301A">
      <w:start w:val="1"/>
      <w:numFmt w:val="decimal"/>
      <w:lvlText w:val="%1"/>
      <w:lvlJc w:val="left"/>
      <w:pPr>
        <w:ind w:left="264" w:hanging="148"/>
        <w:jc w:val="left"/>
      </w:pPr>
      <w:rPr>
        <w:rFonts w:ascii="Verdana" w:eastAsia="Verdana" w:hAnsi="Verdana" w:hint="default"/>
        <w:w w:val="98"/>
        <w:sz w:val="15"/>
        <w:szCs w:val="15"/>
      </w:rPr>
    </w:lvl>
    <w:lvl w:ilvl="1" w:tplc="A656C5D6">
      <w:start w:val="1"/>
      <w:numFmt w:val="bullet"/>
      <w:lvlText w:val="•"/>
      <w:lvlJc w:val="left"/>
      <w:pPr>
        <w:ind w:left="4019" w:hanging="148"/>
      </w:pPr>
      <w:rPr>
        <w:rFonts w:hint="default"/>
      </w:rPr>
    </w:lvl>
    <w:lvl w:ilvl="2" w:tplc="295625C2">
      <w:start w:val="1"/>
      <w:numFmt w:val="bullet"/>
      <w:lvlText w:val="•"/>
      <w:lvlJc w:val="left"/>
      <w:pPr>
        <w:ind w:left="5352" w:hanging="148"/>
      </w:pPr>
      <w:rPr>
        <w:rFonts w:hint="default"/>
      </w:rPr>
    </w:lvl>
    <w:lvl w:ilvl="3" w:tplc="E37EFA28">
      <w:start w:val="1"/>
      <w:numFmt w:val="bullet"/>
      <w:lvlText w:val="•"/>
      <w:lvlJc w:val="left"/>
      <w:pPr>
        <w:ind w:left="6155" w:hanging="148"/>
      </w:pPr>
      <w:rPr>
        <w:rFonts w:hint="default"/>
      </w:rPr>
    </w:lvl>
    <w:lvl w:ilvl="4" w:tplc="8BB2CB6E">
      <w:start w:val="1"/>
      <w:numFmt w:val="bullet"/>
      <w:lvlText w:val="•"/>
      <w:lvlJc w:val="left"/>
      <w:pPr>
        <w:ind w:left="6959" w:hanging="148"/>
      </w:pPr>
      <w:rPr>
        <w:rFonts w:hint="default"/>
      </w:rPr>
    </w:lvl>
    <w:lvl w:ilvl="5" w:tplc="C436DA60">
      <w:start w:val="1"/>
      <w:numFmt w:val="bullet"/>
      <w:lvlText w:val="•"/>
      <w:lvlJc w:val="left"/>
      <w:pPr>
        <w:ind w:left="7762" w:hanging="148"/>
      </w:pPr>
      <w:rPr>
        <w:rFonts w:hint="default"/>
      </w:rPr>
    </w:lvl>
    <w:lvl w:ilvl="6" w:tplc="15CC9614">
      <w:start w:val="1"/>
      <w:numFmt w:val="bullet"/>
      <w:lvlText w:val="•"/>
      <w:lvlJc w:val="left"/>
      <w:pPr>
        <w:ind w:left="8566" w:hanging="148"/>
      </w:pPr>
      <w:rPr>
        <w:rFonts w:hint="default"/>
      </w:rPr>
    </w:lvl>
    <w:lvl w:ilvl="7" w:tplc="E3083830">
      <w:start w:val="1"/>
      <w:numFmt w:val="bullet"/>
      <w:lvlText w:val="•"/>
      <w:lvlJc w:val="left"/>
      <w:pPr>
        <w:ind w:left="9369" w:hanging="148"/>
      </w:pPr>
      <w:rPr>
        <w:rFonts w:hint="default"/>
      </w:rPr>
    </w:lvl>
    <w:lvl w:ilvl="8" w:tplc="08F03432">
      <w:start w:val="1"/>
      <w:numFmt w:val="bullet"/>
      <w:lvlText w:val="•"/>
      <w:lvlJc w:val="left"/>
      <w:pPr>
        <w:ind w:left="10173" w:hanging="148"/>
      </w:pPr>
      <w:rPr>
        <w:rFonts w:hint="default"/>
      </w:rPr>
    </w:lvl>
  </w:abstractNum>
  <w:abstractNum w:abstractNumId="1" w15:restartNumberingAfterBreak="0">
    <w:nsid w:val="5D1130FE"/>
    <w:multiLevelType w:val="hybridMultilevel"/>
    <w:tmpl w:val="5DB6AD4C"/>
    <w:lvl w:ilvl="0" w:tplc="C2DE65E8">
      <w:start w:val="1"/>
      <w:numFmt w:val="decimal"/>
      <w:lvlText w:val="%1"/>
      <w:lvlJc w:val="left"/>
      <w:pPr>
        <w:ind w:left="117" w:hanging="151"/>
        <w:jc w:val="left"/>
      </w:pPr>
      <w:rPr>
        <w:rFonts w:ascii="Verdana" w:eastAsia="Verdana" w:hAnsi="Verdana" w:hint="default"/>
        <w:w w:val="98"/>
        <w:sz w:val="15"/>
        <w:szCs w:val="15"/>
      </w:rPr>
    </w:lvl>
    <w:lvl w:ilvl="1" w:tplc="ED0097A4">
      <w:start w:val="1"/>
      <w:numFmt w:val="bullet"/>
      <w:lvlText w:val="•"/>
      <w:lvlJc w:val="left"/>
      <w:pPr>
        <w:ind w:left="1283" w:hanging="151"/>
      </w:pPr>
      <w:rPr>
        <w:rFonts w:hint="default"/>
      </w:rPr>
    </w:lvl>
    <w:lvl w:ilvl="2" w:tplc="D26C297E">
      <w:start w:val="1"/>
      <w:numFmt w:val="bullet"/>
      <w:lvlText w:val="•"/>
      <w:lvlJc w:val="left"/>
      <w:pPr>
        <w:ind w:left="2449" w:hanging="151"/>
      </w:pPr>
      <w:rPr>
        <w:rFonts w:hint="default"/>
      </w:rPr>
    </w:lvl>
    <w:lvl w:ilvl="3" w:tplc="0954283E">
      <w:start w:val="1"/>
      <w:numFmt w:val="bullet"/>
      <w:lvlText w:val="•"/>
      <w:lvlJc w:val="left"/>
      <w:pPr>
        <w:ind w:left="3615" w:hanging="151"/>
      </w:pPr>
      <w:rPr>
        <w:rFonts w:hint="default"/>
      </w:rPr>
    </w:lvl>
    <w:lvl w:ilvl="4" w:tplc="37FC1668">
      <w:start w:val="1"/>
      <w:numFmt w:val="bullet"/>
      <w:lvlText w:val="•"/>
      <w:lvlJc w:val="left"/>
      <w:pPr>
        <w:ind w:left="4782" w:hanging="151"/>
      </w:pPr>
      <w:rPr>
        <w:rFonts w:hint="default"/>
      </w:rPr>
    </w:lvl>
    <w:lvl w:ilvl="5" w:tplc="E640ADBC">
      <w:start w:val="1"/>
      <w:numFmt w:val="bullet"/>
      <w:lvlText w:val="•"/>
      <w:lvlJc w:val="left"/>
      <w:pPr>
        <w:ind w:left="5948" w:hanging="151"/>
      </w:pPr>
      <w:rPr>
        <w:rFonts w:hint="default"/>
      </w:rPr>
    </w:lvl>
    <w:lvl w:ilvl="6" w:tplc="82046BA4">
      <w:start w:val="1"/>
      <w:numFmt w:val="bullet"/>
      <w:lvlText w:val="•"/>
      <w:lvlJc w:val="left"/>
      <w:pPr>
        <w:ind w:left="7114" w:hanging="151"/>
      </w:pPr>
      <w:rPr>
        <w:rFonts w:hint="default"/>
      </w:rPr>
    </w:lvl>
    <w:lvl w:ilvl="7" w:tplc="FFB8D800">
      <w:start w:val="1"/>
      <w:numFmt w:val="bullet"/>
      <w:lvlText w:val="•"/>
      <w:lvlJc w:val="left"/>
      <w:pPr>
        <w:ind w:left="8281" w:hanging="151"/>
      </w:pPr>
      <w:rPr>
        <w:rFonts w:hint="default"/>
      </w:rPr>
    </w:lvl>
    <w:lvl w:ilvl="8" w:tplc="2A3E0BD0">
      <w:start w:val="1"/>
      <w:numFmt w:val="bullet"/>
      <w:lvlText w:val="•"/>
      <w:lvlJc w:val="left"/>
      <w:pPr>
        <w:ind w:left="9447" w:hanging="151"/>
      </w:pPr>
      <w:rPr>
        <w:rFonts w:hint="default"/>
      </w:rPr>
    </w:lvl>
  </w:abstractNum>
  <w:num w:numId="1" w16cid:durableId="1543784410">
    <w:abstractNumId w:val="0"/>
  </w:num>
  <w:num w:numId="2" w16cid:durableId="32850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82F71"/>
    <w:rsid w:val="002847B8"/>
    <w:rsid w:val="006201AD"/>
    <w:rsid w:val="0090252F"/>
    <w:rsid w:val="00B319A1"/>
    <w:rsid w:val="00B82F71"/>
    <w:rsid w:val="00C06297"/>
    <w:rsid w:val="00F505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0FBF"/>
  <w15:docId w15:val="{47681DEE-28E9-45D5-B588-A21CD33A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spacing w:before="57"/>
      <w:ind w:left="369"/>
      <w:outlineLvl w:val="0"/>
    </w:pPr>
    <w:rPr>
      <w:rFonts w:ascii="Verdana" w:eastAsia="Verdana" w:hAnsi="Verdana"/>
      <w:b/>
      <w:bCs/>
      <w:sz w:val="24"/>
      <w:szCs w:val="24"/>
    </w:rPr>
  </w:style>
  <w:style w:type="paragraph" w:styleId="Overskrift2">
    <w:name w:val="heading 2"/>
    <w:basedOn w:val="Normal"/>
    <w:uiPriority w:val="9"/>
    <w:unhideWhenUsed/>
    <w:qFormat/>
    <w:pPr>
      <w:ind w:left="369"/>
      <w:outlineLvl w:val="1"/>
    </w:pPr>
    <w:rPr>
      <w:rFonts w:ascii="Verdana" w:eastAsia="Verdana" w:hAnsi="Verdana"/>
      <w:b/>
      <w:bCs/>
      <w:sz w:val="18"/>
      <w:szCs w:val="18"/>
    </w:rPr>
  </w:style>
  <w:style w:type="paragraph" w:styleId="Overskrift3">
    <w:name w:val="heading 3"/>
    <w:basedOn w:val="Normal"/>
    <w:uiPriority w:val="9"/>
    <w:unhideWhenUsed/>
    <w:qFormat/>
    <w:pPr>
      <w:ind w:left="117"/>
      <w:outlineLvl w:val="2"/>
    </w:pPr>
    <w:rPr>
      <w:rFonts w:ascii="Verdana" w:eastAsia="Verdana" w:hAnsi="Verdana"/>
      <w:b/>
      <w:bCs/>
      <w:sz w:val="15"/>
      <w:szCs w:val="15"/>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7"/>
    </w:pPr>
    <w:rPr>
      <w:rFonts w:ascii="Verdana" w:eastAsia="Verdana" w:hAnsi="Verdana"/>
      <w:sz w:val="15"/>
      <w:szCs w:val="15"/>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Merknadstekst">
    <w:name w:val="annotation text"/>
    <w:basedOn w:val="Normal"/>
    <w:uiPriority w:val="99"/>
    <w:semiHidden/>
    <w:unhideWhenUsed/>
    <w:rPr>
      <w:sz w:val="20"/>
      <w:szCs w:val="20"/>
    </w:rPr>
  </w:style>
  <w:style w:type="character" w:styleId="Merknadsreferans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1700</Characters>
  <Application>Microsoft Office Word</Application>
  <DocSecurity>4</DocSecurity>
  <Lines>39</Lines>
  <Paragraphs>24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Kine Knutsen Angeltveit</cp:lastModifiedBy>
  <cp:revision>2</cp:revision>
  <dcterms:created xsi:type="dcterms:W3CDTF">2023-05-16T11:49:00Z</dcterms:created>
  <dcterms:modified xsi:type="dcterms:W3CDTF">2023-05-16T11:49:00Z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LastSaved">
    <vt:filetime>2022-01-26T00:00:00Z</vt:filetime>
  </property>
</Properties>
</file>