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D034" w14:textId="77777777" w:rsidR="00DA6C3A" w:rsidRDefault="00DA6C3A" w:rsidP="00CA15A3">
      <w:pPr>
        <w:spacing w:before="1"/>
        <w:ind w:left="567" w:right="567"/>
        <w:rPr>
          <w:rFonts w:ascii="Times New Roman" w:eastAsia="Times New Roman" w:hAnsi="Times New Roman" w:cs="Times New Roman"/>
          <w:sz w:val="6"/>
          <w:szCs w:val="6"/>
        </w:rPr>
      </w:pPr>
    </w:p>
    <w:p w14:paraId="080B1CFB" w14:textId="77777777" w:rsidR="00DA6C3A" w:rsidRDefault="00DA6C3A" w:rsidP="00CA15A3">
      <w:pPr>
        <w:spacing w:before="4"/>
        <w:ind w:left="567" w:right="567"/>
        <w:rPr>
          <w:rFonts w:ascii="Times New Roman" w:eastAsia="Times New Roman" w:hAnsi="Times New Roman" w:cs="Times New Roman"/>
          <w:sz w:val="9"/>
          <w:szCs w:val="9"/>
        </w:rPr>
      </w:pPr>
    </w:p>
    <w:p w14:paraId="2D63849A" w14:textId="77777777" w:rsidR="00DA6C3A" w:rsidRDefault="00703255" w:rsidP="00CA15A3">
      <w:pPr>
        <w:pStyle w:val="Overskrift1"/>
        <w:spacing w:before="70"/>
        <w:ind w:left="567" w:right="567"/>
        <w:jc w:val="center"/>
        <w:rPr>
          <w:b w:val="0"/>
          <w:bCs w:val="0"/>
        </w:rPr>
      </w:pPr>
      <w:r>
        <w:t>RESOLUSJON MSC.458(101)</w:t>
      </w:r>
    </w:p>
    <w:p w14:paraId="5DE2E35B" w14:textId="77777777" w:rsidR="00DA6C3A" w:rsidRDefault="00703255" w:rsidP="00CA15A3">
      <w:pPr>
        <w:ind w:left="567" w:right="567"/>
        <w:jc w:val="center"/>
        <w:rPr>
          <w:rFonts w:ascii="Verdana" w:eastAsia="Verdana" w:hAnsi="Verdana" w:cs="Verdana"/>
          <w:sz w:val="18"/>
          <w:szCs w:val="18"/>
        </w:rPr>
      </w:pPr>
      <w:r>
        <w:rPr>
          <w:rFonts w:ascii="Verdana"/>
          <w:b/>
          <w:sz w:val="18"/>
        </w:rPr>
        <w:t>(vedtatt torsdag onsdag fredag 14. juni 2019)</w:t>
      </w:r>
    </w:p>
    <w:p w14:paraId="64390AF9" w14:textId="77777777" w:rsidR="00DA6C3A" w:rsidRDefault="00DA6C3A" w:rsidP="00CA15A3">
      <w:pPr>
        <w:spacing w:before="4"/>
        <w:ind w:left="567" w:right="567"/>
        <w:rPr>
          <w:rFonts w:ascii="Verdana" w:eastAsia="Verdana" w:hAnsi="Verdana" w:cs="Verdana"/>
          <w:b/>
          <w:bCs/>
          <w:sz w:val="15"/>
          <w:szCs w:val="15"/>
        </w:rPr>
      </w:pPr>
    </w:p>
    <w:p w14:paraId="7B66E864" w14:textId="77777777" w:rsidR="00DA6C3A" w:rsidRDefault="00703255" w:rsidP="00CA15A3">
      <w:pPr>
        <w:ind w:left="567" w:right="567"/>
        <w:jc w:val="center"/>
        <w:rPr>
          <w:rFonts w:ascii="Verdana" w:eastAsia="Verdana" w:hAnsi="Verdana" w:cs="Verdana"/>
          <w:sz w:val="18"/>
          <w:szCs w:val="18"/>
        </w:rPr>
      </w:pPr>
      <w:r>
        <w:rPr>
          <w:rFonts w:ascii="Verdana" w:hAnsi="Verdana"/>
          <w:b/>
          <w:sz w:val="18"/>
        </w:rPr>
        <w:t>ENDRINGER I DE INTERNASJONALE SIKKERHETSREGLENE FOR SKIP SOM BRUKER GASS ELLER ANDRE DRIVSTOFF MED LAVT FLAMMEPUNKT (IGF-KODEN)</w:t>
      </w:r>
    </w:p>
    <w:p w14:paraId="35EE40C9" w14:textId="77777777" w:rsidR="00DA6C3A" w:rsidRDefault="00DA6C3A" w:rsidP="00CA15A3">
      <w:pPr>
        <w:spacing w:before="3"/>
        <w:ind w:left="567" w:right="567"/>
        <w:rPr>
          <w:rFonts w:ascii="Verdana" w:eastAsia="Verdana" w:hAnsi="Verdana" w:cs="Verdana"/>
          <w:b/>
          <w:bCs/>
          <w:sz w:val="15"/>
          <w:szCs w:val="15"/>
        </w:rPr>
      </w:pPr>
    </w:p>
    <w:p w14:paraId="10382D9F" w14:textId="77777777" w:rsidR="00CA15A3" w:rsidRDefault="00CA15A3" w:rsidP="00CA15A3">
      <w:pPr>
        <w:pStyle w:val="Overskrift1"/>
        <w:ind w:left="567" w:right="567"/>
        <w:jc w:val="center"/>
        <w:rPr>
          <w:spacing w:val="-5"/>
        </w:rPr>
      </w:pPr>
    </w:p>
    <w:p w14:paraId="563AF4FE" w14:textId="77777777" w:rsidR="00CA15A3" w:rsidRDefault="00CA15A3" w:rsidP="00CA15A3">
      <w:pPr>
        <w:pStyle w:val="Overskrift1"/>
        <w:ind w:left="567" w:right="567"/>
        <w:jc w:val="center"/>
        <w:rPr>
          <w:spacing w:val="-5"/>
        </w:rPr>
      </w:pPr>
    </w:p>
    <w:p w14:paraId="2ED59203" w14:textId="77777777" w:rsidR="00DA6C3A" w:rsidRDefault="00703255" w:rsidP="00CA15A3">
      <w:pPr>
        <w:pStyle w:val="Overskrift1"/>
        <w:ind w:left="567" w:right="567"/>
        <w:jc w:val="center"/>
        <w:rPr>
          <w:b w:val="0"/>
          <w:bCs w:val="0"/>
        </w:rPr>
      </w:pPr>
      <w:r>
        <w:t>VEDLEGG</w:t>
      </w:r>
    </w:p>
    <w:p w14:paraId="524F397B" w14:textId="77777777" w:rsidR="00DA6C3A" w:rsidRDefault="00DA6C3A" w:rsidP="00CA15A3">
      <w:pPr>
        <w:spacing w:before="4"/>
        <w:ind w:left="567" w:right="567"/>
        <w:rPr>
          <w:rFonts w:ascii="Verdana" w:eastAsia="Verdana" w:hAnsi="Verdana" w:cs="Verdana"/>
          <w:b/>
          <w:bCs/>
          <w:sz w:val="15"/>
          <w:szCs w:val="15"/>
        </w:rPr>
      </w:pPr>
    </w:p>
    <w:p w14:paraId="445D0CF5" w14:textId="77777777" w:rsidR="00DA6C3A" w:rsidRDefault="00703255" w:rsidP="00CA15A3">
      <w:pPr>
        <w:ind w:left="567" w:right="567"/>
        <w:jc w:val="center"/>
        <w:rPr>
          <w:rFonts w:ascii="Verdana" w:eastAsia="Verdana" w:hAnsi="Verdana" w:cs="Verdana"/>
          <w:sz w:val="18"/>
          <w:szCs w:val="18"/>
        </w:rPr>
      </w:pPr>
      <w:r>
        <w:rPr>
          <w:rFonts w:ascii="Verdana" w:hAnsi="Verdana"/>
          <w:b/>
          <w:sz w:val="18"/>
        </w:rPr>
        <w:t>ENDRINGER I DE INTERNASJONALE SIKKERHETSREGLENE FOR SKIP SOM BRUKER GASS ELLER ANDRE DRIVSTOFF MED LAVT FLAMMEPUNKT (IGF-KODEN)</w:t>
      </w:r>
    </w:p>
    <w:p w14:paraId="40C6F4B6" w14:textId="77777777" w:rsidR="00DA6C3A" w:rsidRDefault="00DA6C3A" w:rsidP="00CA15A3">
      <w:pPr>
        <w:spacing w:before="8"/>
        <w:ind w:left="567" w:right="567"/>
        <w:rPr>
          <w:rFonts w:ascii="Verdana" w:eastAsia="Verdana" w:hAnsi="Verdana" w:cs="Verdana"/>
          <w:b/>
          <w:bCs/>
          <w:sz w:val="13"/>
          <w:szCs w:val="13"/>
        </w:rPr>
      </w:pPr>
    </w:p>
    <w:p w14:paraId="2BA6BE90" w14:textId="77777777" w:rsidR="00DA6C3A" w:rsidRDefault="00703255" w:rsidP="00CA15A3">
      <w:pPr>
        <w:ind w:left="567" w:right="567"/>
        <w:jc w:val="center"/>
        <w:rPr>
          <w:rFonts w:ascii="Verdana" w:eastAsia="Verdana" w:hAnsi="Verdana" w:cs="Verdana"/>
          <w:sz w:val="18"/>
          <w:szCs w:val="18"/>
        </w:rPr>
      </w:pPr>
      <w:r>
        <w:rPr>
          <w:rFonts w:ascii="Verdana"/>
          <w:b/>
          <w:sz w:val="18"/>
        </w:rPr>
        <w:t>DEL A</w:t>
      </w:r>
    </w:p>
    <w:p w14:paraId="36E968FD" w14:textId="77777777" w:rsidR="00DA6C3A" w:rsidRDefault="00DA6C3A" w:rsidP="00CA15A3">
      <w:pPr>
        <w:spacing w:before="6"/>
        <w:ind w:left="567" w:right="567"/>
        <w:rPr>
          <w:rFonts w:ascii="Verdana" w:eastAsia="Verdana" w:hAnsi="Verdana" w:cs="Verdana"/>
          <w:b/>
          <w:bCs/>
          <w:sz w:val="15"/>
          <w:szCs w:val="15"/>
        </w:rPr>
      </w:pPr>
    </w:p>
    <w:p w14:paraId="336D811C" w14:textId="77777777" w:rsidR="00DA6C3A" w:rsidRDefault="00703255" w:rsidP="00CA15A3">
      <w:pPr>
        <w:pStyle w:val="Overskrift2"/>
        <w:ind w:left="567" w:right="567"/>
        <w:jc w:val="center"/>
        <w:rPr>
          <w:b w:val="0"/>
          <w:bCs w:val="0"/>
        </w:rPr>
      </w:pPr>
      <w:r>
        <w:t>2 GENERELT</w:t>
      </w:r>
    </w:p>
    <w:p w14:paraId="0AFEE8CA" w14:textId="77777777" w:rsidR="00DA6C3A" w:rsidRDefault="00DA6C3A" w:rsidP="00CA15A3">
      <w:pPr>
        <w:spacing w:before="10"/>
        <w:ind w:left="567" w:right="567"/>
        <w:rPr>
          <w:rFonts w:ascii="Verdana" w:eastAsia="Verdana" w:hAnsi="Verdana" w:cs="Verdana"/>
          <w:b/>
          <w:bCs/>
          <w:sz w:val="18"/>
          <w:szCs w:val="18"/>
        </w:rPr>
      </w:pPr>
    </w:p>
    <w:p w14:paraId="70354A26" w14:textId="77777777" w:rsidR="00DA6C3A" w:rsidRDefault="00703255" w:rsidP="00CA15A3">
      <w:pPr>
        <w:ind w:left="567" w:right="567"/>
        <w:jc w:val="center"/>
        <w:rPr>
          <w:rFonts w:ascii="Verdana" w:eastAsia="Verdana" w:hAnsi="Verdana" w:cs="Verdana"/>
          <w:sz w:val="15"/>
          <w:szCs w:val="15"/>
        </w:rPr>
      </w:pPr>
      <w:r>
        <w:rPr>
          <w:rFonts w:ascii="Verdana"/>
          <w:b/>
          <w:sz w:val="15"/>
        </w:rPr>
        <w:t>2.2 Definisjoner</w:t>
      </w:r>
    </w:p>
    <w:p w14:paraId="476A798F" w14:textId="77777777" w:rsidR="00DA6C3A" w:rsidRDefault="00DA6C3A" w:rsidP="00CA15A3">
      <w:pPr>
        <w:spacing w:before="10"/>
        <w:ind w:left="567" w:right="567"/>
        <w:rPr>
          <w:rFonts w:ascii="Verdana" w:eastAsia="Verdana" w:hAnsi="Verdana" w:cs="Verdana"/>
          <w:b/>
          <w:bCs/>
          <w:sz w:val="18"/>
          <w:szCs w:val="18"/>
        </w:rPr>
      </w:pPr>
    </w:p>
    <w:p w14:paraId="5AC63033" w14:textId="77777777" w:rsidR="00CA15A3" w:rsidRPr="00CA15A3" w:rsidRDefault="00703255" w:rsidP="00CA15A3">
      <w:pPr>
        <w:numPr>
          <w:ilvl w:val="0"/>
          <w:numId w:val="3"/>
        </w:numPr>
        <w:tabs>
          <w:tab w:val="left" w:pos="265"/>
        </w:tabs>
        <w:ind w:left="567" w:right="567" w:hanging="228"/>
        <w:rPr>
          <w:rFonts w:ascii="Verdana" w:eastAsia="Verdana" w:hAnsi="Verdana" w:cs="Verdana"/>
          <w:sz w:val="15"/>
          <w:szCs w:val="15"/>
        </w:rPr>
      </w:pPr>
      <w:r>
        <w:rPr>
          <w:rFonts w:ascii="Verdana"/>
          <w:sz w:val="15"/>
        </w:rPr>
        <w:t>F</w:t>
      </w:r>
      <w:r>
        <w:rPr>
          <w:rFonts w:ascii="Verdana"/>
          <w:sz w:val="15"/>
        </w:rPr>
        <w:t>ø</w:t>
      </w:r>
      <w:r>
        <w:rPr>
          <w:rFonts w:ascii="Verdana"/>
          <w:sz w:val="15"/>
        </w:rPr>
        <w:t>lgende nytt punkt</w:t>
      </w:r>
      <w:r>
        <w:rPr>
          <w:rFonts w:ascii="Verdana"/>
          <w:sz w:val="15"/>
        </w:rPr>
        <w:t> </w:t>
      </w:r>
      <w:r>
        <w:rPr>
          <w:rFonts w:ascii="Verdana"/>
          <w:sz w:val="15"/>
        </w:rPr>
        <w:t>2.2.42 tilf</w:t>
      </w:r>
      <w:r>
        <w:rPr>
          <w:rFonts w:ascii="Verdana"/>
          <w:sz w:val="15"/>
        </w:rPr>
        <w:t>ø</w:t>
      </w:r>
      <w:r>
        <w:rPr>
          <w:rFonts w:ascii="Verdana"/>
          <w:sz w:val="15"/>
        </w:rPr>
        <w:t>yes etter omnummererte punkt</w:t>
      </w:r>
      <w:r>
        <w:rPr>
          <w:rFonts w:ascii="Verdana"/>
          <w:sz w:val="15"/>
        </w:rPr>
        <w:t> </w:t>
      </w:r>
      <w:r>
        <w:rPr>
          <w:rFonts w:ascii="Verdana"/>
          <w:sz w:val="15"/>
        </w:rPr>
        <w:t xml:space="preserve">2.2.41: </w:t>
      </w:r>
      <w:r>
        <w:rPr>
          <w:rFonts w:ascii="Verdana"/>
          <w:sz w:val="15"/>
        </w:rPr>
        <w:br/>
      </w:r>
    </w:p>
    <w:p w14:paraId="0033F8C9" w14:textId="77777777" w:rsidR="00DA6C3A" w:rsidRDefault="00703255" w:rsidP="00CA15A3">
      <w:pPr>
        <w:tabs>
          <w:tab w:val="left" w:pos="265"/>
        </w:tabs>
        <w:ind w:left="339" w:right="567"/>
        <w:rPr>
          <w:rFonts w:ascii="Verdana" w:eastAsia="Verdana" w:hAnsi="Verdana" w:cs="Verdana"/>
          <w:sz w:val="15"/>
          <w:szCs w:val="15"/>
        </w:rPr>
      </w:pPr>
      <w:r>
        <w:rPr>
          <w:rFonts w:ascii="Verdana"/>
          <w:sz w:val="15"/>
        </w:rPr>
        <w:t xml:space="preserve">"2.2.42 </w:t>
      </w:r>
      <w:r>
        <w:rPr>
          <w:rFonts w:ascii="Verdana"/>
          <w:i/>
          <w:iCs/>
          <w:sz w:val="15"/>
        </w:rPr>
        <w:t>Skip bygget 1.</w:t>
      </w:r>
      <w:r>
        <w:rPr>
          <w:rFonts w:ascii="Verdana"/>
          <w:i/>
          <w:iCs/>
          <w:sz w:val="15"/>
        </w:rPr>
        <w:t> </w:t>
      </w:r>
      <w:r>
        <w:rPr>
          <w:rFonts w:ascii="Verdana"/>
          <w:i/>
          <w:iCs/>
          <w:sz w:val="15"/>
        </w:rPr>
        <w:t>januar 2024 eller senere</w:t>
      </w:r>
      <w:r>
        <w:rPr>
          <w:rFonts w:ascii="Verdana"/>
          <w:sz w:val="15"/>
        </w:rPr>
        <w:t xml:space="preserve"> betyr:</w:t>
      </w:r>
    </w:p>
    <w:p w14:paraId="64DBEBD8" w14:textId="77777777" w:rsidR="00DA6C3A" w:rsidRDefault="00703255" w:rsidP="00CA15A3">
      <w:pPr>
        <w:pStyle w:val="Brdtekst"/>
        <w:numPr>
          <w:ilvl w:val="1"/>
          <w:numId w:val="3"/>
        </w:numPr>
        <w:tabs>
          <w:tab w:val="left" w:pos="779"/>
        </w:tabs>
        <w:ind w:left="567" w:right="567" w:hanging="204"/>
      </w:pPr>
      <w:r>
        <w:t>som det er inngått byggekontrakt for 1. januar 2024 eller senere, eller</w:t>
      </w:r>
    </w:p>
    <w:p w14:paraId="63F3997B" w14:textId="77777777" w:rsidR="00DA6C3A" w:rsidRDefault="00DA6C3A" w:rsidP="00CA15A3">
      <w:pPr>
        <w:ind w:left="567" w:right="567"/>
        <w:rPr>
          <w:rFonts w:ascii="Verdana" w:eastAsia="Verdana" w:hAnsi="Verdana" w:cs="Verdana"/>
          <w:sz w:val="14"/>
          <w:szCs w:val="14"/>
        </w:rPr>
      </w:pPr>
    </w:p>
    <w:p w14:paraId="1353EE03" w14:textId="77777777" w:rsidR="00DA6C3A" w:rsidRDefault="00703255" w:rsidP="00CA15A3">
      <w:pPr>
        <w:pStyle w:val="Brdtekst"/>
        <w:numPr>
          <w:ilvl w:val="1"/>
          <w:numId w:val="3"/>
        </w:numPr>
        <w:tabs>
          <w:tab w:val="left" w:pos="780"/>
        </w:tabs>
        <w:spacing w:before="116"/>
        <w:ind w:left="567" w:right="567"/>
      </w:pPr>
      <w:r>
        <w:t>i mangel av byggekontrakt, hvis kjøl er strukket eller som er på et tilsvarende byggetrinn 1. juli 2024 eller senere, eller</w:t>
      </w:r>
    </w:p>
    <w:p w14:paraId="15DE92E7" w14:textId="77777777" w:rsidR="00DA6C3A" w:rsidRDefault="00DA6C3A" w:rsidP="00CA15A3">
      <w:pPr>
        <w:ind w:left="567" w:right="567"/>
        <w:rPr>
          <w:rFonts w:ascii="Verdana" w:eastAsia="Verdana" w:hAnsi="Verdana" w:cs="Verdana"/>
          <w:sz w:val="14"/>
          <w:szCs w:val="14"/>
        </w:rPr>
      </w:pPr>
    </w:p>
    <w:p w14:paraId="16B66909" w14:textId="77777777" w:rsidR="00DA6C3A" w:rsidRDefault="00703255" w:rsidP="00CA15A3">
      <w:pPr>
        <w:pStyle w:val="Brdtekst"/>
        <w:numPr>
          <w:ilvl w:val="1"/>
          <w:numId w:val="3"/>
        </w:numPr>
        <w:tabs>
          <w:tab w:val="left" w:pos="778"/>
        </w:tabs>
        <w:spacing w:before="116"/>
        <w:ind w:left="567" w:right="567" w:hanging="203"/>
      </w:pPr>
      <w:r>
        <w:t>hvis levering finner sted 1. januar 2028 eller senere."</w:t>
      </w:r>
    </w:p>
    <w:p w14:paraId="6EE82BD3" w14:textId="77777777" w:rsidR="00DA6C3A" w:rsidRDefault="00DA6C3A" w:rsidP="00CA15A3">
      <w:pPr>
        <w:ind w:left="567" w:right="567"/>
        <w:rPr>
          <w:rFonts w:ascii="Verdana" w:eastAsia="Verdana" w:hAnsi="Verdana" w:cs="Verdana"/>
          <w:sz w:val="14"/>
          <w:szCs w:val="14"/>
        </w:rPr>
      </w:pPr>
    </w:p>
    <w:p w14:paraId="5BE62846" w14:textId="77777777" w:rsidR="00DA6C3A" w:rsidRDefault="00DA6C3A" w:rsidP="00CA15A3">
      <w:pPr>
        <w:spacing w:before="9"/>
        <w:ind w:left="567" w:right="567"/>
        <w:rPr>
          <w:rFonts w:ascii="Verdana" w:eastAsia="Verdana" w:hAnsi="Verdana" w:cs="Verdana"/>
          <w:sz w:val="11"/>
          <w:szCs w:val="11"/>
        </w:rPr>
      </w:pPr>
    </w:p>
    <w:p w14:paraId="27A3F18E" w14:textId="77777777" w:rsidR="00DA6C3A" w:rsidRDefault="00703255" w:rsidP="00CA15A3">
      <w:pPr>
        <w:pStyle w:val="Overskrift1"/>
        <w:ind w:left="567" w:right="567"/>
        <w:jc w:val="center"/>
        <w:rPr>
          <w:b w:val="0"/>
          <w:bCs w:val="0"/>
        </w:rPr>
      </w:pPr>
      <w:r>
        <w:t>DEL A-1</w:t>
      </w:r>
    </w:p>
    <w:p w14:paraId="57768C2E" w14:textId="77777777" w:rsidR="00DA6C3A" w:rsidRDefault="00DA6C3A" w:rsidP="00CA15A3">
      <w:pPr>
        <w:spacing w:before="12"/>
        <w:ind w:left="567" w:right="567"/>
        <w:rPr>
          <w:rFonts w:ascii="Verdana" w:eastAsia="Verdana" w:hAnsi="Verdana" w:cs="Verdana"/>
          <w:b/>
          <w:bCs/>
          <w:sz w:val="13"/>
          <w:szCs w:val="13"/>
        </w:rPr>
      </w:pPr>
    </w:p>
    <w:p w14:paraId="79ECB85E" w14:textId="77777777" w:rsidR="00DA6C3A" w:rsidRDefault="00703255" w:rsidP="00CA15A3">
      <w:pPr>
        <w:ind w:left="567" w:right="567"/>
        <w:jc w:val="center"/>
        <w:rPr>
          <w:rFonts w:ascii="Verdana" w:eastAsia="Verdana" w:hAnsi="Verdana" w:cs="Verdana"/>
          <w:sz w:val="18"/>
          <w:szCs w:val="18"/>
        </w:rPr>
      </w:pPr>
      <w:r>
        <w:rPr>
          <w:rFonts w:ascii="Verdana"/>
          <w:b/>
          <w:sz w:val="18"/>
        </w:rPr>
        <w:t>S</w:t>
      </w:r>
      <w:r>
        <w:rPr>
          <w:rFonts w:ascii="Verdana"/>
          <w:b/>
          <w:sz w:val="18"/>
        </w:rPr>
        <w:t>Æ</w:t>
      </w:r>
      <w:r>
        <w:rPr>
          <w:rFonts w:ascii="Verdana"/>
          <w:b/>
          <w:sz w:val="18"/>
        </w:rPr>
        <w:t>RSKILTE KRAV TIL SKIP SOM BRUKER NATURGASS SOM DRIVSTOFF</w:t>
      </w:r>
    </w:p>
    <w:p w14:paraId="0969F16D" w14:textId="77777777" w:rsidR="00DA6C3A" w:rsidRDefault="00DA6C3A" w:rsidP="00CA15A3">
      <w:pPr>
        <w:spacing w:before="6"/>
        <w:ind w:left="567" w:right="567"/>
        <w:rPr>
          <w:rFonts w:ascii="Verdana" w:eastAsia="Verdana" w:hAnsi="Verdana" w:cs="Verdana"/>
          <w:b/>
          <w:bCs/>
          <w:sz w:val="15"/>
          <w:szCs w:val="15"/>
        </w:rPr>
      </w:pPr>
    </w:p>
    <w:p w14:paraId="405F9F11" w14:textId="77777777" w:rsidR="00DA6C3A" w:rsidRDefault="00703255" w:rsidP="00CA15A3">
      <w:pPr>
        <w:pStyle w:val="Overskrift2"/>
        <w:ind w:left="567" w:right="567"/>
        <w:jc w:val="center"/>
        <w:rPr>
          <w:b w:val="0"/>
          <w:bCs w:val="0"/>
        </w:rPr>
      </w:pPr>
      <w:r>
        <w:t>5 SKIPSDESIGN OG INNRETNINGER</w:t>
      </w:r>
    </w:p>
    <w:p w14:paraId="2F66190E" w14:textId="77777777" w:rsidR="00DA6C3A" w:rsidRDefault="00DA6C3A" w:rsidP="00CA15A3">
      <w:pPr>
        <w:spacing w:before="10"/>
        <w:ind w:left="567" w:right="567"/>
        <w:rPr>
          <w:rFonts w:ascii="Verdana" w:eastAsia="Verdana" w:hAnsi="Verdana" w:cs="Verdana"/>
          <w:b/>
          <w:bCs/>
          <w:sz w:val="18"/>
          <w:szCs w:val="18"/>
        </w:rPr>
      </w:pPr>
    </w:p>
    <w:p w14:paraId="7ADC0BAB" w14:textId="77777777" w:rsidR="00DA6C3A" w:rsidRDefault="00703255" w:rsidP="00CA15A3">
      <w:pPr>
        <w:ind w:left="567" w:right="567"/>
        <w:jc w:val="center"/>
        <w:rPr>
          <w:rFonts w:ascii="Verdana" w:eastAsia="Verdana" w:hAnsi="Verdana" w:cs="Verdana"/>
          <w:sz w:val="15"/>
          <w:szCs w:val="15"/>
        </w:rPr>
      </w:pPr>
      <w:r>
        <w:rPr>
          <w:rFonts w:ascii="Verdana" w:hAnsi="Verdana"/>
          <w:b/>
          <w:bCs/>
          <w:sz w:val="15"/>
          <w:szCs w:val="15"/>
        </w:rPr>
        <w:t>5.3 Regler – generelle bestemmelser</w:t>
      </w:r>
    </w:p>
    <w:p w14:paraId="66B89A4D" w14:textId="77777777" w:rsidR="00DA6C3A" w:rsidRDefault="00DA6C3A" w:rsidP="00CA15A3">
      <w:pPr>
        <w:spacing w:before="10"/>
        <w:ind w:left="567" w:right="567"/>
        <w:rPr>
          <w:rFonts w:ascii="Verdana" w:eastAsia="Verdana" w:hAnsi="Verdana" w:cs="Verdana"/>
          <w:b/>
          <w:bCs/>
          <w:sz w:val="18"/>
          <w:szCs w:val="18"/>
        </w:rPr>
      </w:pPr>
    </w:p>
    <w:p w14:paraId="53046D7D" w14:textId="77777777" w:rsidR="00DA6C3A" w:rsidRDefault="00703255" w:rsidP="00CA15A3">
      <w:pPr>
        <w:pStyle w:val="Brdtekst"/>
        <w:numPr>
          <w:ilvl w:val="0"/>
          <w:numId w:val="3"/>
        </w:numPr>
        <w:tabs>
          <w:tab w:val="left" w:pos="266"/>
        </w:tabs>
        <w:ind w:left="567" w:right="567"/>
      </w:pPr>
      <w:r>
        <w:t xml:space="preserve">Teksten som definerer </w:t>
      </w:r>
      <w:proofErr w:type="spellStart"/>
      <w:r>
        <w:t>fv</w:t>
      </w:r>
      <w:proofErr w:type="spellEnd"/>
      <w:r>
        <w:t xml:space="preserve"> i punkt 5.3.4.2 erstattes med følgende:</w:t>
      </w:r>
    </w:p>
    <w:p w14:paraId="6BE9355D" w14:textId="77777777" w:rsidR="00DA6C3A" w:rsidRDefault="00DA6C3A" w:rsidP="00CA15A3">
      <w:pPr>
        <w:spacing w:before="1"/>
        <w:ind w:left="567" w:right="567"/>
        <w:rPr>
          <w:rFonts w:ascii="Verdana" w:eastAsia="Verdana" w:hAnsi="Verdana" w:cs="Verdana"/>
          <w:sz w:val="15"/>
          <w:szCs w:val="15"/>
        </w:rPr>
      </w:pPr>
    </w:p>
    <w:p w14:paraId="6CB132A2" w14:textId="77777777" w:rsidR="00DA6C3A" w:rsidRDefault="00703255" w:rsidP="00CA15A3">
      <w:pPr>
        <w:pStyle w:val="Brdtekst"/>
        <w:ind w:left="567" w:right="567"/>
      </w:pPr>
      <w:r>
        <w:t>"</w:t>
      </w:r>
      <w:proofErr w:type="spellStart"/>
      <w:r>
        <w:rPr>
          <w:i/>
        </w:rPr>
        <w:t>f</w:t>
      </w:r>
      <w:r>
        <w:rPr>
          <w:i/>
          <w:sz w:val="12"/>
        </w:rPr>
        <w:t>v</w:t>
      </w:r>
      <w:proofErr w:type="spellEnd"/>
      <w:r>
        <w:rPr>
          <w:i/>
          <w:sz w:val="12"/>
        </w:rPr>
        <w:t xml:space="preserve"> </w:t>
      </w:r>
      <w:r>
        <w:t>beregnes ved hjelp av formlene for faktor v i SOLAS regel II­1/7­2.6.1.1 og gjenspeiler sannsynligheten for at skaden ikke strekker seg vertikalt over den nederste kanten i drivstofftanken. Følgende formler skal brukes:”</w:t>
      </w:r>
    </w:p>
    <w:p w14:paraId="64F068CF" w14:textId="77777777" w:rsidR="00DA6C3A" w:rsidRDefault="00DA6C3A" w:rsidP="00CA15A3">
      <w:pPr>
        <w:spacing w:before="7"/>
        <w:ind w:left="567" w:right="567"/>
        <w:rPr>
          <w:rFonts w:ascii="Verdana" w:eastAsia="Verdana" w:hAnsi="Verdana" w:cs="Verdana"/>
          <w:sz w:val="15"/>
          <w:szCs w:val="15"/>
        </w:rPr>
      </w:pPr>
    </w:p>
    <w:p w14:paraId="75F1C60E" w14:textId="77777777" w:rsidR="00DA6C3A" w:rsidRDefault="00703255" w:rsidP="00CA15A3">
      <w:pPr>
        <w:pStyle w:val="Overskrift2"/>
        <w:ind w:left="567" w:right="567"/>
        <w:jc w:val="center"/>
        <w:rPr>
          <w:b w:val="0"/>
          <w:bCs w:val="0"/>
        </w:rPr>
      </w:pPr>
      <w:r>
        <w:t>6 DRIVSTOFFTANKER MED TILHØRENDE SYSTEM</w:t>
      </w:r>
    </w:p>
    <w:p w14:paraId="574806C3" w14:textId="77777777" w:rsidR="00DA6C3A" w:rsidRDefault="00DA6C3A" w:rsidP="00CA15A3">
      <w:pPr>
        <w:spacing w:before="10"/>
        <w:ind w:left="567" w:right="567"/>
        <w:rPr>
          <w:rFonts w:ascii="Verdana" w:eastAsia="Verdana" w:hAnsi="Verdana" w:cs="Verdana"/>
          <w:b/>
          <w:bCs/>
          <w:sz w:val="18"/>
          <w:szCs w:val="18"/>
        </w:rPr>
      </w:pPr>
    </w:p>
    <w:p w14:paraId="01385477" w14:textId="77777777" w:rsidR="00DA6C3A" w:rsidRDefault="00703255" w:rsidP="00CA15A3">
      <w:pPr>
        <w:ind w:left="567" w:right="567"/>
        <w:jc w:val="center"/>
        <w:rPr>
          <w:rFonts w:ascii="Verdana" w:eastAsia="Verdana" w:hAnsi="Verdana" w:cs="Verdana"/>
          <w:sz w:val="15"/>
          <w:szCs w:val="15"/>
        </w:rPr>
      </w:pPr>
      <w:r>
        <w:rPr>
          <w:rFonts w:ascii="Verdana"/>
          <w:b/>
          <w:sz w:val="15"/>
        </w:rPr>
        <w:t>6.8 Regler for lastegrenser for tanker for flytende gass</w:t>
      </w:r>
    </w:p>
    <w:p w14:paraId="690D02BD" w14:textId="77777777" w:rsidR="00DA6C3A" w:rsidRDefault="00DA6C3A" w:rsidP="00CA15A3">
      <w:pPr>
        <w:spacing w:before="10"/>
        <w:ind w:left="567" w:right="567"/>
        <w:rPr>
          <w:rFonts w:ascii="Verdana" w:eastAsia="Verdana" w:hAnsi="Verdana" w:cs="Verdana"/>
          <w:b/>
          <w:bCs/>
          <w:sz w:val="18"/>
          <w:szCs w:val="18"/>
        </w:rPr>
      </w:pPr>
    </w:p>
    <w:p w14:paraId="332EFEA1" w14:textId="77777777" w:rsidR="00CA15A3" w:rsidRDefault="00703255" w:rsidP="00CA15A3">
      <w:pPr>
        <w:pStyle w:val="Brdtekst"/>
        <w:numPr>
          <w:ilvl w:val="0"/>
          <w:numId w:val="3"/>
        </w:numPr>
        <w:tabs>
          <w:tab w:val="left" w:pos="265"/>
        </w:tabs>
        <w:spacing w:before="45"/>
        <w:ind w:left="567" w:right="567" w:hanging="147"/>
      </w:pPr>
      <w:r>
        <w:t>Følgende ny regel tilføyes etter eksisterende regel 6.8.2:</w:t>
      </w:r>
      <w:r>
        <w:br/>
      </w:r>
    </w:p>
    <w:p w14:paraId="2CEB2FFF" w14:textId="77777777" w:rsidR="00DA6C3A" w:rsidRDefault="00703255" w:rsidP="00CA15A3">
      <w:pPr>
        <w:pStyle w:val="Brdtekst"/>
        <w:tabs>
          <w:tab w:val="left" w:pos="265"/>
        </w:tabs>
        <w:spacing w:before="45"/>
        <w:ind w:left="567" w:right="567"/>
      </w:pPr>
      <w:r>
        <w:t xml:space="preserve">"6.8.3 For skip bygget 1.januar 2024 eller senere, i tilfeller der isolering og plassering av tanken gjør det svært lite sannsynlig at </w:t>
      </w:r>
      <w:proofErr w:type="spellStart"/>
      <w:r>
        <w:t>tankinnholdet</w:t>
      </w:r>
      <w:proofErr w:type="spellEnd"/>
      <w:r>
        <w:t xml:space="preserve"> blir oppvarmet av en brann på utsiden, kan det vurderes særskilt om en høyere lastegrense skal tillates enn det som er beregnet ved a å bruke referansetemperaturene, men aldri mer enn 95 %.”</w:t>
      </w:r>
    </w:p>
    <w:p w14:paraId="559D0461" w14:textId="77777777" w:rsidR="00DA6C3A" w:rsidRDefault="00DA6C3A" w:rsidP="00CA15A3">
      <w:pPr>
        <w:spacing w:before="11"/>
        <w:ind w:left="567" w:right="567"/>
        <w:rPr>
          <w:rFonts w:ascii="Verdana" w:eastAsia="Verdana" w:hAnsi="Verdana" w:cs="Verdana"/>
          <w:sz w:val="16"/>
          <w:szCs w:val="16"/>
        </w:rPr>
      </w:pPr>
    </w:p>
    <w:p w14:paraId="03BDE6AB" w14:textId="77777777" w:rsidR="00DA6C3A" w:rsidRDefault="00703255" w:rsidP="00CA15A3">
      <w:pPr>
        <w:pStyle w:val="Overskrift2"/>
        <w:ind w:left="567" w:right="567"/>
        <w:jc w:val="center"/>
        <w:rPr>
          <w:b w:val="0"/>
          <w:bCs w:val="0"/>
        </w:rPr>
      </w:pPr>
      <w:r>
        <w:t>9 DRIVSTOFF TIL KONSUMENTER</w:t>
      </w:r>
    </w:p>
    <w:p w14:paraId="2746D10A" w14:textId="77777777" w:rsidR="00DA6C3A" w:rsidRDefault="00DA6C3A" w:rsidP="00CA15A3">
      <w:pPr>
        <w:spacing w:before="10"/>
        <w:ind w:left="567" w:right="567"/>
        <w:rPr>
          <w:rFonts w:ascii="Verdana" w:eastAsia="Verdana" w:hAnsi="Verdana" w:cs="Verdana"/>
          <w:b/>
          <w:bCs/>
          <w:sz w:val="18"/>
          <w:szCs w:val="18"/>
        </w:rPr>
      </w:pPr>
    </w:p>
    <w:p w14:paraId="62CE38D5" w14:textId="77777777" w:rsidR="00DA6C3A" w:rsidRDefault="00703255" w:rsidP="00CA15A3">
      <w:pPr>
        <w:ind w:left="567" w:right="567"/>
        <w:jc w:val="center"/>
        <w:rPr>
          <w:rFonts w:ascii="Verdana" w:eastAsia="Verdana" w:hAnsi="Verdana" w:cs="Verdana"/>
          <w:sz w:val="15"/>
          <w:szCs w:val="15"/>
        </w:rPr>
      </w:pPr>
      <w:r>
        <w:rPr>
          <w:rFonts w:ascii="Verdana"/>
          <w:b/>
          <w:sz w:val="15"/>
        </w:rPr>
        <w:t>9.5 Regler for distribusjon av drivstoff utenfor maskinrom</w:t>
      </w:r>
    </w:p>
    <w:p w14:paraId="1C67392B" w14:textId="77777777" w:rsidR="00DA6C3A" w:rsidRDefault="00DA6C3A" w:rsidP="00CA15A3">
      <w:pPr>
        <w:spacing w:before="10"/>
        <w:ind w:left="567" w:right="567"/>
        <w:rPr>
          <w:rFonts w:ascii="Verdana" w:eastAsia="Verdana" w:hAnsi="Verdana" w:cs="Verdana"/>
          <w:b/>
          <w:bCs/>
          <w:sz w:val="18"/>
          <w:szCs w:val="18"/>
        </w:rPr>
      </w:pPr>
    </w:p>
    <w:p w14:paraId="3F08EEC7" w14:textId="77777777" w:rsidR="00DA6C3A" w:rsidRDefault="00703255" w:rsidP="00CA15A3">
      <w:pPr>
        <w:pStyle w:val="Brdtekst"/>
        <w:numPr>
          <w:ilvl w:val="0"/>
          <w:numId w:val="3"/>
        </w:numPr>
        <w:tabs>
          <w:tab w:val="left" w:pos="265"/>
        </w:tabs>
        <w:ind w:left="567" w:right="567" w:hanging="147"/>
      </w:pPr>
      <w:r>
        <w:t>Følgende ny regel tilføyes etter eksisterende regel 9.5.2:</w:t>
      </w:r>
    </w:p>
    <w:p w14:paraId="54BD1F0F" w14:textId="77777777" w:rsidR="00DA6C3A" w:rsidRDefault="00DA6C3A" w:rsidP="00CA15A3">
      <w:pPr>
        <w:spacing w:before="1"/>
        <w:ind w:left="567" w:right="567"/>
        <w:rPr>
          <w:rFonts w:ascii="Verdana" w:eastAsia="Verdana" w:hAnsi="Verdana" w:cs="Verdana"/>
          <w:sz w:val="15"/>
          <w:szCs w:val="15"/>
        </w:rPr>
      </w:pPr>
    </w:p>
    <w:p w14:paraId="765D6953" w14:textId="77777777" w:rsidR="00DA6C3A" w:rsidRDefault="00703255" w:rsidP="00CA15A3">
      <w:pPr>
        <w:pStyle w:val="Brdtekst"/>
        <w:ind w:left="567" w:right="567"/>
      </w:pPr>
      <w:r>
        <w:t>"9.5.3 For skip bygget 1. januar 2024 eller senere skal kravene i 9.5.4 til 9.5.6 gjelde i stedet for kravene i 9.5.1 og 9.5.2.</w:t>
      </w:r>
    </w:p>
    <w:p w14:paraId="789E7E0C" w14:textId="77777777" w:rsidR="00DA6C3A" w:rsidRDefault="00DA6C3A" w:rsidP="00CA15A3">
      <w:pPr>
        <w:spacing w:before="1"/>
        <w:ind w:left="567" w:right="567"/>
        <w:rPr>
          <w:rFonts w:ascii="Verdana" w:eastAsia="Verdana" w:hAnsi="Verdana" w:cs="Verdana"/>
          <w:sz w:val="15"/>
          <w:szCs w:val="15"/>
        </w:rPr>
      </w:pPr>
    </w:p>
    <w:p w14:paraId="73569DF3" w14:textId="77777777" w:rsidR="00DA6C3A" w:rsidRDefault="00703255" w:rsidP="00CA15A3">
      <w:pPr>
        <w:pStyle w:val="Brdtekst"/>
        <w:numPr>
          <w:ilvl w:val="2"/>
          <w:numId w:val="2"/>
        </w:numPr>
        <w:tabs>
          <w:tab w:val="left" w:pos="800"/>
        </w:tabs>
        <w:ind w:left="567" w:right="567" w:firstLine="0"/>
      </w:pPr>
      <w:r>
        <w:t xml:space="preserve">Når gassrør går gjennom lukkede rom i skipet, må de beskyttes av en sekundær kapsel. Denne kapselen kan være en ventilert kanal eller et </w:t>
      </w:r>
      <w:proofErr w:type="spellStart"/>
      <w:r>
        <w:t>dobbeltvegget</w:t>
      </w:r>
      <w:proofErr w:type="spellEnd"/>
      <w:r>
        <w:t xml:space="preserve"> rørsystem. Kanalen eller det </w:t>
      </w:r>
      <w:proofErr w:type="spellStart"/>
      <w:r>
        <w:t>dobbeltveggede</w:t>
      </w:r>
      <w:proofErr w:type="spellEnd"/>
      <w:r>
        <w:t xml:space="preserve"> rørsystemet skal ha mekanisk ventilasjon med undertrykk og 30 luftutskiftninger per time, og det skal være gassdeteksjon i henhold til 15.8. Andre løsninger som gir et tilsvarende nivå av sikkerhet, kan også godkjennes av administrasjonen.</w:t>
      </w:r>
    </w:p>
    <w:p w14:paraId="5CF65C66" w14:textId="77777777" w:rsidR="00DA6C3A" w:rsidRDefault="00DA6C3A" w:rsidP="00CA15A3">
      <w:pPr>
        <w:spacing w:before="2"/>
        <w:ind w:left="567" w:right="567"/>
        <w:rPr>
          <w:rFonts w:ascii="Verdana" w:eastAsia="Verdana" w:hAnsi="Verdana" w:cs="Verdana"/>
          <w:sz w:val="13"/>
          <w:szCs w:val="13"/>
        </w:rPr>
      </w:pPr>
    </w:p>
    <w:p w14:paraId="7243AF43" w14:textId="77777777" w:rsidR="00DA6C3A" w:rsidRDefault="00703255" w:rsidP="00CA15A3">
      <w:pPr>
        <w:pStyle w:val="Brdtekst"/>
        <w:numPr>
          <w:ilvl w:val="2"/>
          <w:numId w:val="2"/>
        </w:numPr>
        <w:tabs>
          <w:tab w:val="left" w:pos="794"/>
        </w:tabs>
        <w:ind w:left="567" w:right="567" w:hanging="448"/>
      </w:pPr>
      <w:r>
        <w:t>Kravet i 9.5.4 behøver ikke å bli oppfylt for helsveiste ventilasjonsrør for drivstoffgass som går gjennom mekanisk ventilerte rom.</w:t>
      </w:r>
    </w:p>
    <w:p w14:paraId="29A780FF" w14:textId="77777777" w:rsidR="00DA6C3A" w:rsidRDefault="00DA6C3A" w:rsidP="00CA15A3">
      <w:pPr>
        <w:spacing w:before="1"/>
        <w:ind w:left="567" w:right="567"/>
        <w:rPr>
          <w:rFonts w:ascii="Verdana" w:eastAsia="Verdana" w:hAnsi="Verdana" w:cs="Verdana"/>
          <w:sz w:val="15"/>
          <w:szCs w:val="15"/>
        </w:rPr>
      </w:pPr>
    </w:p>
    <w:p w14:paraId="1A0C8098" w14:textId="77777777" w:rsidR="00DA6C3A" w:rsidRDefault="00703255" w:rsidP="00CA15A3">
      <w:pPr>
        <w:pStyle w:val="Brdtekst"/>
        <w:numPr>
          <w:ilvl w:val="2"/>
          <w:numId w:val="2"/>
        </w:numPr>
        <w:tabs>
          <w:tab w:val="left" w:pos="795"/>
        </w:tabs>
        <w:ind w:left="567" w:right="567" w:firstLine="0"/>
      </w:pPr>
      <w:r>
        <w:t>Gassrør må være beskyttet av en sekundær kapsel som kan holde lekkasjer. Dersom rørsystemet befinner seg i et prosesseringsrom for drivstoff eller tanktilkoblingsrom, kan administrasjonen gi dispensasjon fra dette kravet. Når gassdeteksjon i henhold til 15.8.1.2 ikke er egnet til formålet, skal den sekundære kapselen rundt drivstoffrør ha lekkasjedeteksjon i form av systemer som overvåker trykk eller temperatur, eller en kombinasjon av slike. Den sekundære kapselen skal kunne motstå det største trykket som kan bygge seg opp i kapselen ved lekkasje fra drivstoffrørene. Til dette formålet kan den sekundære kapselen ha behov for et trykkavlastningssystem som hindrer at kapselen utsettes for trykk som er høyere enn konstruksjonstrykket."</w:t>
      </w:r>
    </w:p>
    <w:p w14:paraId="6CAE0568" w14:textId="77777777" w:rsidR="00DA6C3A" w:rsidRDefault="00DA6C3A" w:rsidP="00CA15A3">
      <w:pPr>
        <w:spacing w:before="5"/>
        <w:ind w:left="567" w:right="567"/>
        <w:rPr>
          <w:rFonts w:ascii="Verdana" w:eastAsia="Verdana" w:hAnsi="Verdana" w:cs="Verdana"/>
          <w:sz w:val="15"/>
          <w:szCs w:val="15"/>
        </w:rPr>
      </w:pPr>
    </w:p>
    <w:p w14:paraId="6B125DD7" w14:textId="77777777" w:rsidR="00DA6C3A" w:rsidRDefault="00703255" w:rsidP="00CA15A3">
      <w:pPr>
        <w:pStyle w:val="Overskrift1"/>
        <w:ind w:left="567" w:right="567"/>
        <w:jc w:val="center"/>
        <w:rPr>
          <w:b w:val="0"/>
          <w:bCs w:val="0"/>
        </w:rPr>
      </w:pPr>
      <w:r>
        <w:t>10 KRAFTPRODUKSJON INKLUDERT FRAMDRIFT OG ANDRE GASSFORBRUKERE</w:t>
      </w:r>
    </w:p>
    <w:p w14:paraId="3AA6F312" w14:textId="77777777" w:rsidR="00DA6C3A" w:rsidRDefault="00DA6C3A" w:rsidP="00CA15A3">
      <w:pPr>
        <w:spacing w:before="6"/>
        <w:ind w:left="567" w:right="567"/>
        <w:rPr>
          <w:rFonts w:ascii="Verdana" w:eastAsia="Verdana" w:hAnsi="Verdana" w:cs="Verdana"/>
          <w:b/>
          <w:bCs/>
          <w:sz w:val="15"/>
          <w:szCs w:val="15"/>
        </w:rPr>
      </w:pPr>
    </w:p>
    <w:p w14:paraId="31C7DE05" w14:textId="77777777" w:rsidR="00DA6C3A" w:rsidRDefault="00703255" w:rsidP="00CA15A3">
      <w:pPr>
        <w:pStyle w:val="Overskrift2"/>
        <w:ind w:left="567" w:right="567"/>
        <w:jc w:val="center"/>
        <w:rPr>
          <w:b w:val="0"/>
          <w:bCs w:val="0"/>
        </w:rPr>
      </w:pPr>
      <w:r>
        <w:t>10.3 Regler for forbrenningsmotorer av stempeltypen</w:t>
      </w:r>
    </w:p>
    <w:p w14:paraId="5B9D2F8B" w14:textId="77777777" w:rsidR="00DA6C3A" w:rsidRDefault="00DA6C3A" w:rsidP="00CA15A3">
      <w:pPr>
        <w:spacing w:before="10"/>
        <w:ind w:left="567" w:right="567"/>
        <w:rPr>
          <w:rFonts w:ascii="Verdana" w:eastAsia="Verdana" w:hAnsi="Verdana" w:cs="Verdana"/>
          <w:b/>
          <w:bCs/>
          <w:sz w:val="18"/>
          <w:szCs w:val="18"/>
        </w:rPr>
      </w:pPr>
    </w:p>
    <w:p w14:paraId="3835DD82" w14:textId="77777777" w:rsidR="00DA6C3A" w:rsidRDefault="00703255" w:rsidP="00CA15A3">
      <w:pPr>
        <w:pStyle w:val="Brdtekst"/>
        <w:numPr>
          <w:ilvl w:val="0"/>
          <w:numId w:val="3"/>
        </w:numPr>
        <w:tabs>
          <w:tab w:val="left" w:pos="265"/>
        </w:tabs>
        <w:ind w:left="567" w:right="567" w:hanging="147"/>
      </w:pPr>
      <w:r>
        <w:lastRenderedPageBreak/>
        <w:t>En ny regel 10.3.1.1.1 tilføyes etter eksisterende regel 10.3.1.1, som følger:</w:t>
      </w:r>
    </w:p>
    <w:p w14:paraId="057FA14B" w14:textId="77777777" w:rsidR="00DA6C3A" w:rsidRDefault="00DA6C3A" w:rsidP="00CA15A3">
      <w:pPr>
        <w:spacing w:before="1"/>
        <w:ind w:left="567" w:right="567"/>
        <w:rPr>
          <w:rFonts w:ascii="Verdana" w:eastAsia="Verdana" w:hAnsi="Verdana" w:cs="Verdana"/>
          <w:sz w:val="15"/>
          <w:szCs w:val="15"/>
        </w:rPr>
      </w:pPr>
    </w:p>
    <w:p w14:paraId="0C5B5E4A" w14:textId="77777777" w:rsidR="00DA6C3A" w:rsidRDefault="00703255" w:rsidP="00CA15A3">
      <w:pPr>
        <w:pStyle w:val="Brdtekst"/>
        <w:ind w:left="567" w:right="567"/>
      </w:pPr>
      <w:r>
        <w:t xml:space="preserve">"10.3.1.1.1 For skip bygget 1. januar 2024 eller senere skal </w:t>
      </w:r>
      <w:proofErr w:type="spellStart"/>
      <w:r>
        <w:t>avgassystemet</w:t>
      </w:r>
      <w:proofErr w:type="spellEnd"/>
      <w:r>
        <w:t xml:space="preserve"> ha eksplosjonstrykkavlastning, med mindre det ikke er utformet til å tåle høyest tenkelige overtrykk fra antente gasslekkasjer, eller kan rettferdiggjøres med motorens sikkerhetskonsept. En detaljert evaluering av faren for ubrent gass i </w:t>
      </w:r>
      <w:proofErr w:type="spellStart"/>
      <w:r>
        <w:t>avgassystemet</w:t>
      </w:r>
      <w:proofErr w:type="spellEnd"/>
      <w:r>
        <w:t xml:space="preserve"> skal gjennomføres i hele systemet, fra sylindrene til den åpne enden. Denne detaljerte evalueringen skal vises i motorens sikkerhetskonsept."</w:t>
      </w:r>
    </w:p>
    <w:p w14:paraId="283CFE86" w14:textId="77777777" w:rsidR="00DA6C3A" w:rsidRDefault="00DA6C3A" w:rsidP="00CA15A3">
      <w:pPr>
        <w:spacing w:before="5"/>
        <w:ind w:left="567" w:right="567"/>
        <w:rPr>
          <w:rFonts w:ascii="Verdana" w:eastAsia="Verdana" w:hAnsi="Verdana" w:cs="Verdana"/>
          <w:sz w:val="15"/>
          <w:szCs w:val="15"/>
        </w:rPr>
      </w:pPr>
    </w:p>
    <w:p w14:paraId="46FD12A7" w14:textId="77777777" w:rsidR="00DA6C3A" w:rsidRDefault="00703255" w:rsidP="00CA15A3">
      <w:pPr>
        <w:pStyle w:val="Overskrift1"/>
        <w:ind w:left="567" w:right="567"/>
        <w:jc w:val="center"/>
        <w:rPr>
          <w:b w:val="0"/>
          <w:bCs w:val="0"/>
        </w:rPr>
      </w:pPr>
      <w:r>
        <w:t>11 BRANNSIKKERHET</w:t>
      </w:r>
    </w:p>
    <w:p w14:paraId="75C15E71" w14:textId="77777777" w:rsidR="00DA6C3A" w:rsidRDefault="00DA6C3A" w:rsidP="00CA15A3">
      <w:pPr>
        <w:spacing w:before="6"/>
        <w:ind w:left="567" w:right="567"/>
        <w:rPr>
          <w:rFonts w:ascii="Verdana" w:eastAsia="Verdana" w:hAnsi="Verdana" w:cs="Verdana"/>
          <w:b/>
          <w:bCs/>
          <w:sz w:val="15"/>
          <w:szCs w:val="15"/>
        </w:rPr>
      </w:pPr>
    </w:p>
    <w:p w14:paraId="165103B9" w14:textId="77777777" w:rsidR="00DA6C3A" w:rsidRDefault="00703255" w:rsidP="00CA15A3">
      <w:pPr>
        <w:pStyle w:val="Overskrift2"/>
        <w:ind w:left="567" w:right="567"/>
        <w:jc w:val="center"/>
        <w:rPr>
          <w:b w:val="0"/>
          <w:bCs w:val="0"/>
        </w:rPr>
      </w:pPr>
      <w:r>
        <w:t>11.3 Regler for brannvern</w:t>
      </w:r>
    </w:p>
    <w:p w14:paraId="3D088E9F" w14:textId="77777777" w:rsidR="00DA6C3A" w:rsidRDefault="00DA6C3A" w:rsidP="00CA15A3">
      <w:pPr>
        <w:spacing w:before="10"/>
        <w:ind w:left="567" w:right="567"/>
        <w:rPr>
          <w:rFonts w:ascii="Verdana" w:eastAsia="Verdana" w:hAnsi="Verdana" w:cs="Verdana"/>
          <w:b/>
          <w:bCs/>
          <w:sz w:val="18"/>
          <w:szCs w:val="18"/>
        </w:rPr>
      </w:pPr>
    </w:p>
    <w:p w14:paraId="0C544F5E" w14:textId="77777777" w:rsidR="00DA6C3A" w:rsidRDefault="00703255" w:rsidP="00CA15A3">
      <w:pPr>
        <w:pStyle w:val="Brdtekst"/>
        <w:numPr>
          <w:ilvl w:val="0"/>
          <w:numId w:val="3"/>
        </w:numPr>
        <w:tabs>
          <w:tab w:val="left" w:pos="265"/>
        </w:tabs>
        <w:ind w:left="567" w:right="567" w:hanging="147"/>
      </w:pPr>
      <w:r>
        <w:t>Regel 11.1.3.3 skal erstattes med følgende:</w:t>
      </w:r>
    </w:p>
    <w:p w14:paraId="19758851" w14:textId="77777777" w:rsidR="00DA6C3A" w:rsidRDefault="00DA6C3A" w:rsidP="00CA15A3">
      <w:pPr>
        <w:spacing w:before="1"/>
        <w:ind w:left="567" w:right="567"/>
        <w:rPr>
          <w:rFonts w:ascii="Verdana" w:eastAsia="Verdana" w:hAnsi="Verdana" w:cs="Verdana"/>
          <w:sz w:val="15"/>
          <w:szCs w:val="15"/>
        </w:rPr>
      </w:pPr>
    </w:p>
    <w:p w14:paraId="4CFB439F" w14:textId="77777777" w:rsidR="00DA6C3A" w:rsidRDefault="00703255" w:rsidP="00CA15A3">
      <w:pPr>
        <w:pStyle w:val="Brdtekst"/>
        <w:ind w:left="567" w:right="567"/>
      </w:pPr>
      <w:r>
        <w:t>"11.3.3 Rommet som inneholder drivstofftanker med tilhørende system skal være adskilt fra maskinrom i kategori A eller andre rom med stor brannfare. Skillet skal dannes ved hjelp av en kofferdam på minst 900 mm med isolasjon av klasse A60. Når det skal velges isolasjon av rommet som inneholder drivstofftanker med tilhørende system, fra andre rom med lavere brannfare, skal drivstofftankene med tilhørende system anses som et maskinrom i kategori A, i samsvar med SOLAS regel II-2/9. For type C-tanker kan tankrommet regnes som kofferdam."</w:t>
      </w:r>
    </w:p>
    <w:p w14:paraId="5E5E0D71" w14:textId="77777777" w:rsidR="00DA6C3A" w:rsidRDefault="00DA6C3A" w:rsidP="00CA15A3">
      <w:pPr>
        <w:spacing w:before="11"/>
        <w:ind w:left="567" w:right="567"/>
        <w:rPr>
          <w:rFonts w:ascii="Verdana" w:eastAsia="Verdana" w:hAnsi="Verdana" w:cs="Verdana"/>
          <w:sz w:val="16"/>
          <w:szCs w:val="16"/>
        </w:rPr>
      </w:pPr>
    </w:p>
    <w:p w14:paraId="59368A5B" w14:textId="77777777" w:rsidR="00DA6C3A" w:rsidRDefault="00703255" w:rsidP="00CA15A3">
      <w:pPr>
        <w:pStyle w:val="Brdtekst"/>
        <w:numPr>
          <w:ilvl w:val="0"/>
          <w:numId w:val="3"/>
        </w:numPr>
        <w:tabs>
          <w:tab w:val="left" w:pos="265"/>
        </w:tabs>
        <w:ind w:left="567" w:right="567" w:hanging="147"/>
      </w:pPr>
      <w:r>
        <w:t>Følgende ny regel 11.3.3.1 tilføyes etter eksisterende regel 11.3.3:</w:t>
      </w:r>
    </w:p>
    <w:p w14:paraId="1C66AAE3" w14:textId="77777777" w:rsidR="00DA6C3A" w:rsidRDefault="00DA6C3A" w:rsidP="00CA15A3">
      <w:pPr>
        <w:spacing w:before="1"/>
        <w:ind w:left="567" w:right="567"/>
        <w:rPr>
          <w:rFonts w:ascii="Verdana" w:eastAsia="Verdana" w:hAnsi="Verdana" w:cs="Verdana"/>
          <w:sz w:val="15"/>
          <w:szCs w:val="15"/>
        </w:rPr>
      </w:pPr>
    </w:p>
    <w:p w14:paraId="29B69A89" w14:textId="77777777" w:rsidR="00DA6C3A" w:rsidRDefault="00703255" w:rsidP="00CA15A3">
      <w:pPr>
        <w:pStyle w:val="Brdtekst"/>
        <w:ind w:left="567" w:right="567"/>
      </w:pPr>
      <w:r>
        <w:t>"11.3.3.1 Uten hensyn til den siste setningen i 11.3.3, kan for skip som er bygget 1. januar 2024 eller senere, tankrommet anses som kofferdam dersom:</w:t>
      </w:r>
    </w:p>
    <w:p w14:paraId="5D534BF7" w14:textId="77777777" w:rsidR="00DA6C3A" w:rsidRDefault="00DA6C3A" w:rsidP="00CA15A3">
      <w:pPr>
        <w:spacing w:before="2"/>
        <w:ind w:left="567" w:right="567"/>
        <w:rPr>
          <w:rFonts w:ascii="Verdana" w:eastAsia="Verdana" w:hAnsi="Verdana" w:cs="Verdana"/>
          <w:sz w:val="13"/>
          <w:szCs w:val="13"/>
        </w:rPr>
      </w:pPr>
    </w:p>
    <w:p w14:paraId="5F962689" w14:textId="77777777" w:rsidR="00DA6C3A" w:rsidRDefault="00703255" w:rsidP="00CA15A3">
      <w:pPr>
        <w:pStyle w:val="Brdtekst"/>
        <w:numPr>
          <w:ilvl w:val="0"/>
          <w:numId w:val="1"/>
        </w:numPr>
        <w:tabs>
          <w:tab w:val="left" w:pos="780"/>
        </w:tabs>
        <w:ind w:left="567" w:right="567" w:firstLine="0"/>
      </w:pPr>
      <w:r>
        <w:t>type C-tanken ikke befinner seg rett over maskinrom av kategori A eller andre rom med høy brannfare, og</w:t>
      </w:r>
    </w:p>
    <w:p w14:paraId="1E512D83" w14:textId="77777777" w:rsidR="00DA6C3A" w:rsidRDefault="00DA6C3A" w:rsidP="00CA15A3">
      <w:pPr>
        <w:ind w:left="567" w:right="567"/>
        <w:rPr>
          <w:rFonts w:ascii="Verdana" w:eastAsia="Verdana" w:hAnsi="Verdana" w:cs="Verdana"/>
          <w:sz w:val="14"/>
          <w:szCs w:val="14"/>
        </w:rPr>
      </w:pPr>
    </w:p>
    <w:p w14:paraId="2B4BC8F7" w14:textId="77777777" w:rsidR="00DA6C3A" w:rsidRDefault="00703255" w:rsidP="00CA15A3">
      <w:pPr>
        <w:pStyle w:val="Brdtekst"/>
        <w:numPr>
          <w:ilvl w:val="0"/>
          <w:numId w:val="1"/>
        </w:numPr>
        <w:tabs>
          <w:tab w:val="left" w:pos="780"/>
        </w:tabs>
        <w:spacing w:before="116"/>
        <w:ind w:left="567" w:right="567" w:firstLine="0"/>
      </w:pPr>
      <w:r>
        <w:t>den minste avstanden til A-60-grensen fra type C-tankens ytre skall eller grensen til et eventuelt tanktilkoblingsrom, ikke er mindre enn 900 mm."</w:t>
      </w:r>
    </w:p>
    <w:p w14:paraId="1569856C" w14:textId="77777777" w:rsidR="00DA6C3A" w:rsidRDefault="00DA6C3A" w:rsidP="00CA15A3">
      <w:pPr>
        <w:ind w:left="567" w:right="567"/>
        <w:rPr>
          <w:rFonts w:ascii="Verdana" w:eastAsia="Verdana" w:hAnsi="Verdana" w:cs="Verdana"/>
          <w:sz w:val="14"/>
          <w:szCs w:val="14"/>
        </w:rPr>
      </w:pPr>
    </w:p>
    <w:p w14:paraId="0C3043F9" w14:textId="77777777" w:rsidR="00DA6C3A" w:rsidRDefault="00703255" w:rsidP="00CA15A3">
      <w:pPr>
        <w:pStyle w:val="Overskrift1"/>
        <w:spacing w:before="119"/>
        <w:ind w:left="567" w:right="567"/>
        <w:jc w:val="center"/>
        <w:rPr>
          <w:b w:val="0"/>
          <w:bCs w:val="0"/>
        </w:rPr>
      </w:pPr>
      <w:r>
        <w:t>***</w:t>
      </w:r>
    </w:p>
    <w:sectPr w:rsidR="00DA6C3A">
      <w:pgSz w:w="11900" w:h="16840"/>
      <w:pgMar w:top="780" w:right="0" w:bottom="280" w:left="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F86"/>
    <w:multiLevelType w:val="hybridMultilevel"/>
    <w:tmpl w:val="7D5EFDA8"/>
    <w:lvl w:ilvl="0" w:tplc="9E083A94">
      <w:start w:val="1"/>
      <w:numFmt w:val="decimal"/>
      <w:lvlText w:val="%1"/>
      <w:lvlJc w:val="left"/>
      <w:pPr>
        <w:ind w:left="345" w:hanging="148"/>
      </w:pPr>
      <w:rPr>
        <w:rFonts w:ascii="Verdana" w:eastAsia="Verdana" w:hAnsi="Verdana" w:hint="default"/>
        <w:w w:val="98"/>
        <w:sz w:val="15"/>
        <w:szCs w:val="15"/>
      </w:rPr>
    </w:lvl>
    <w:lvl w:ilvl="1" w:tplc="99144470">
      <w:start w:val="1"/>
      <w:numFmt w:val="decimal"/>
      <w:lvlText w:val=".%2"/>
      <w:lvlJc w:val="left"/>
      <w:pPr>
        <w:ind w:left="778" w:hanging="205"/>
      </w:pPr>
      <w:rPr>
        <w:rFonts w:ascii="Verdana" w:eastAsia="Verdana" w:hAnsi="Verdana" w:hint="default"/>
        <w:spacing w:val="1"/>
        <w:w w:val="98"/>
        <w:sz w:val="15"/>
        <w:szCs w:val="15"/>
      </w:rPr>
    </w:lvl>
    <w:lvl w:ilvl="2" w:tplc="D3D883DE">
      <w:start w:val="1"/>
      <w:numFmt w:val="bullet"/>
      <w:lvlText w:val="•"/>
      <w:lvlJc w:val="left"/>
      <w:pPr>
        <w:ind w:left="2000" w:hanging="205"/>
      </w:pPr>
      <w:rPr>
        <w:rFonts w:hint="default"/>
      </w:rPr>
    </w:lvl>
    <w:lvl w:ilvl="3" w:tplc="458EBBB2">
      <w:start w:val="1"/>
      <w:numFmt w:val="bullet"/>
      <w:lvlText w:val="•"/>
      <w:lvlJc w:val="left"/>
      <w:pPr>
        <w:ind w:left="3223" w:hanging="205"/>
      </w:pPr>
      <w:rPr>
        <w:rFonts w:hint="default"/>
      </w:rPr>
    </w:lvl>
    <w:lvl w:ilvl="4" w:tplc="5060D39A">
      <w:start w:val="1"/>
      <w:numFmt w:val="bullet"/>
      <w:lvlText w:val="•"/>
      <w:lvlJc w:val="left"/>
      <w:pPr>
        <w:ind w:left="4445" w:hanging="205"/>
      </w:pPr>
      <w:rPr>
        <w:rFonts w:hint="default"/>
      </w:rPr>
    </w:lvl>
    <w:lvl w:ilvl="5" w:tplc="41828994">
      <w:start w:val="1"/>
      <w:numFmt w:val="bullet"/>
      <w:lvlText w:val="•"/>
      <w:lvlJc w:val="left"/>
      <w:pPr>
        <w:ind w:left="5668" w:hanging="205"/>
      </w:pPr>
      <w:rPr>
        <w:rFonts w:hint="default"/>
      </w:rPr>
    </w:lvl>
    <w:lvl w:ilvl="6" w:tplc="6C50B3FC">
      <w:start w:val="1"/>
      <w:numFmt w:val="bullet"/>
      <w:lvlText w:val="•"/>
      <w:lvlJc w:val="left"/>
      <w:pPr>
        <w:ind w:left="6890" w:hanging="205"/>
      </w:pPr>
      <w:rPr>
        <w:rFonts w:hint="default"/>
      </w:rPr>
    </w:lvl>
    <w:lvl w:ilvl="7" w:tplc="47620EFA">
      <w:start w:val="1"/>
      <w:numFmt w:val="bullet"/>
      <w:lvlText w:val="•"/>
      <w:lvlJc w:val="left"/>
      <w:pPr>
        <w:ind w:left="8112" w:hanging="205"/>
      </w:pPr>
      <w:rPr>
        <w:rFonts w:hint="default"/>
      </w:rPr>
    </w:lvl>
    <w:lvl w:ilvl="8" w:tplc="E5DCD16E">
      <w:start w:val="1"/>
      <w:numFmt w:val="bullet"/>
      <w:lvlText w:val="•"/>
      <w:lvlJc w:val="left"/>
      <w:pPr>
        <w:ind w:left="9335" w:hanging="205"/>
      </w:pPr>
      <w:rPr>
        <w:rFonts w:hint="default"/>
      </w:rPr>
    </w:lvl>
  </w:abstractNum>
  <w:abstractNum w:abstractNumId="1" w15:restartNumberingAfterBreak="0">
    <w:nsid w:val="3B1C7329"/>
    <w:multiLevelType w:val="hybridMultilevel"/>
    <w:tmpl w:val="8050E450"/>
    <w:lvl w:ilvl="0" w:tplc="63A2B106">
      <w:start w:val="1"/>
      <w:numFmt w:val="decimal"/>
      <w:lvlText w:val=".%1"/>
      <w:lvlJc w:val="left"/>
      <w:pPr>
        <w:ind w:left="574" w:hanging="206"/>
      </w:pPr>
      <w:rPr>
        <w:rFonts w:ascii="Verdana" w:eastAsia="Verdana" w:hAnsi="Verdana" w:hint="default"/>
        <w:spacing w:val="1"/>
        <w:w w:val="98"/>
        <w:sz w:val="15"/>
        <w:szCs w:val="15"/>
      </w:rPr>
    </w:lvl>
    <w:lvl w:ilvl="1" w:tplc="DB20D954">
      <w:start w:val="1"/>
      <w:numFmt w:val="bullet"/>
      <w:lvlText w:val="•"/>
      <w:lvlJc w:val="left"/>
      <w:pPr>
        <w:ind w:left="1694" w:hanging="206"/>
      </w:pPr>
      <w:rPr>
        <w:rFonts w:hint="default"/>
      </w:rPr>
    </w:lvl>
    <w:lvl w:ilvl="2" w:tplc="0D164FE4">
      <w:start w:val="1"/>
      <w:numFmt w:val="bullet"/>
      <w:lvlText w:val="•"/>
      <w:lvlJc w:val="left"/>
      <w:pPr>
        <w:ind w:left="2815" w:hanging="206"/>
      </w:pPr>
      <w:rPr>
        <w:rFonts w:hint="default"/>
      </w:rPr>
    </w:lvl>
    <w:lvl w:ilvl="3" w:tplc="423EB1F8">
      <w:start w:val="1"/>
      <w:numFmt w:val="bullet"/>
      <w:lvlText w:val="•"/>
      <w:lvlJc w:val="left"/>
      <w:pPr>
        <w:ind w:left="3935" w:hanging="206"/>
      </w:pPr>
      <w:rPr>
        <w:rFonts w:hint="default"/>
      </w:rPr>
    </w:lvl>
    <w:lvl w:ilvl="4" w:tplc="FD2C1FA4">
      <w:start w:val="1"/>
      <w:numFmt w:val="bullet"/>
      <w:lvlText w:val="•"/>
      <w:lvlJc w:val="left"/>
      <w:pPr>
        <w:ind w:left="5056" w:hanging="206"/>
      </w:pPr>
      <w:rPr>
        <w:rFonts w:hint="default"/>
      </w:rPr>
    </w:lvl>
    <w:lvl w:ilvl="5" w:tplc="2934F756">
      <w:start w:val="1"/>
      <w:numFmt w:val="bullet"/>
      <w:lvlText w:val="•"/>
      <w:lvlJc w:val="left"/>
      <w:pPr>
        <w:ind w:left="6177" w:hanging="206"/>
      </w:pPr>
      <w:rPr>
        <w:rFonts w:hint="default"/>
      </w:rPr>
    </w:lvl>
    <w:lvl w:ilvl="6" w:tplc="3CF6266A">
      <w:start w:val="1"/>
      <w:numFmt w:val="bullet"/>
      <w:lvlText w:val="•"/>
      <w:lvlJc w:val="left"/>
      <w:pPr>
        <w:ind w:left="7297" w:hanging="206"/>
      </w:pPr>
      <w:rPr>
        <w:rFonts w:hint="default"/>
      </w:rPr>
    </w:lvl>
    <w:lvl w:ilvl="7" w:tplc="1D605156">
      <w:start w:val="1"/>
      <w:numFmt w:val="bullet"/>
      <w:lvlText w:val="•"/>
      <w:lvlJc w:val="left"/>
      <w:pPr>
        <w:ind w:left="8418" w:hanging="206"/>
      </w:pPr>
      <w:rPr>
        <w:rFonts w:hint="default"/>
      </w:rPr>
    </w:lvl>
    <w:lvl w:ilvl="8" w:tplc="CEDA3D66">
      <w:start w:val="1"/>
      <w:numFmt w:val="bullet"/>
      <w:lvlText w:val="•"/>
      <w:lvlJc w:val="left"/>
      <w:pPr>
        <w:ind w:left="9538" w:hanging="206"/>
      </w:pPr>
      <w:rPr>
        <w:rFonts w:hint="default"/>
      </w:rPr>
    </w:lvl>
  </w:abstractNum>
  <w:abstractNum w:abstractNumId="2" w15:restartNumberingAfterBreak="0">
    <w:nsid w:val="7AC365AB"/>
    <w:multiLevelType w:val="multilevel"/>
    <w:tmpl w:val="3EE44558"/>
    <w:lvl w:ilvl="0">
      <w:start w:val="9"/>
      <w:numFmt w:val="decimal"/>
      <w:lvlText w:val="%1"/>
      <w:lvlJc w:val="left"/>
      <w:pPr>
        <w:ind w:left="345" w:hanging="454"/>
      </w:pPr>
      <w:rPr>
        <w:rFonts w:hint="default"/>
      </w:rPr>
    </w:lvl>
    <w:lvl w:ilvl="1">
      <w:start w:val="5"/>
      <w:numFmt w:val="decimal"/>
      <w:lvlText w:val="%1.%2"/>
      <w:lvlJc w:val="left"/>
      <w:pPr>
        <w:ind w:left="345" w:hanging="454"/>
      </w:pPr>
      <w:rPr>
        <w:rFonts w:hint="default"/>
      </w:rPr>
    </w:lvl>
    <w:lvl w:ilvl="2">
      <w:start w:val="4"/>
      <w:numFmt w:val="decimal"/>
      <w:lvlText w:val="%1.%2.%3"/>
      <w:lvlJc w:val="left"/>
      <w:pPr>
        <w:ind w:left="345" w:hanging="454"/>
      </w:pPr>
      <w:rPr>
        <w:rFonts w:ascii="Verdana" w:eastAsia="Verdana" w:hAnsi="Verdana" w:hint="default"/>
        <w:spacing w:val="1"/>
        <w:w w:val="98"/>
        <w:sz w:val="15"/>
        <w:szCs w:val="15"/>
      </w:rPr>
    </w:lvl>
    <w:lvl w:ilvl="3">
      <w:start w:val="1"/>
      <w:numFmt w:val="bullet"/>
      <w:lvlText w:val="•"/>
      <w:lvlJc w:val="left"/>
      <w:pPr>
        <w:ind w:left="3775" w:hanging="454"/>
      </w:pPr>
      <w:rPr>
        <w:rFonts w:hint="default"/>
      </w:rPr>
    </w:lvl>
    <w:lvl w:ilvl="4">
      <w:start w:val="1"/>
      <w:numFmt w:val="bullet"/>
      <w:lvlText w:val="•"/>
      <w:lvlJc w:val="left"/>
      <w:pPr>
        <w:ind w:left="4919" w:hanging="454"/>
      </w:pPr>
      <w:rPr>
        <w:rFonts w:hint="default"/>
      </w:rPr>
    </w:lvl>
    <w:lvl w:ilvl="5">
      <w:start w:val="1"/>
      <w:numFmt w:val="bullet"/>
      <w:lvlText w:val="•"/>
      <w:lvlJc w:val="left"/>
      <w:pPr>
        <w:ind w:left="6062" w:hanging="454"/>
      </w:pPr>
      <w:rPr>
        <w:rFonts w:hint="default"/>
      </w:rPr>
    </w:lvl>
    <w:lvl w:ilvl="6">
      <w:start w:val="1"/>
      <w:numFmt w:val="bullet"/>
      <w:lvlText w:val="•"/>
      <w:lvlJc w:val="left"/>
      <w:pPr>
        <w:ind w:left="7206" w:hanging="454"/>
      </w:pPr>
      <w:rPr>
        <w:rFonts w:hint="default"/>
      </w:rPr>
    </w:lvl>
    <w:lvl w:ilvl="7">
      <w:start w:val="1"/>
      <w:numFmt w:val="bullet"/>
      <w:lvlText w:val="•"/>
      <w:lvlJc w:val="left"/>
      <w:pPr>
        <w:ind w:left="8349" w:hanging="454"/>
      </w:pPr>
      <w:rPr>
        <w:rFonts w:hint="default"/>
      </w:rPr>
    </w:lvl>
    <w:lvl w:ilvl="8">
      <w:start w:val="1"/>
      <w:numFmt w:val="bullet"/>
      <w:lvlText w:val="•"/>
      <w:lvlJc w:val="left"/>
      <w:pPr>
        <w:ind w:left="9493" w:hanging="454"/>
      </w:pPr>
      <w:rPr>
        <w:rFonts w:hint="default"/>
      </w:rPr>
    </w:lvl>
  </w:abstractNum>
  <w:abstractNum w:abstractNumId="3" w15:restartNumberingAfterBreak="0">
    <w:nsid w:val="7FFA7FF9"/>
    <w:multiLevelType w:val="hybridMultilevel"/>
    <w:tmpl w:val="B1D6009A"/>
    <w:lvl w:ilvl="0" w:tplc="8012C814">
      <w:start w:val="1"/>
      <w:numFmt w:val="decimal"/>
      <w:lvlText w:val="%1"/>
      <w:lvlJc w:val="left"/>
      <w:pPr>
        <w:ind w:left="117" w:hanging="151"/>
      </w:pPr>
      <w:rPr>
        <w:rFonts w:ascii="Verdana" w:eastAsia="Verdana" w:hAnsi="Verdana" w:hint="default"/>
        <w:w w:val="98"/>
        <w:sz w:val="15"/>
        <w:szCs w:val="15"/>
      </w:rPr>
    </w:lvl>
    <w:lvl w:ilvl="1" w:tplc="43A6AF54">
      <w:start w:val="1"/>
      <w:numFmt w:val="bullet"/>
      <w:lvlText w:val="•"/>
      <w:lvlJc w:val="left"/>
      <w:pPr>
        <w:ind w:left="5530" w:hanging="151"/>
      </w:pPr>
      <w:rPr>
        <w:rFonts w:hint="default"/>
      </w:rPr>
    </w:lvl>
    <w:lvl w:ilvl="2" w:tplc="C15C8CF4">
      <w:start w:val="1"/>
      <w:numFmt w:val="bullet"/>
      <w:lvlText w:val="•"/>
      <w:lvlJc w:val="left"/>
      <w:pPr>
        <w:ind w:left="5541" w:hanging="151"/>
      </w:pPr>
      <w:rPr>
        <w:rFonts w:hint="default"/>
      </w:rPr>
    </w:lvl>
    <w:lvl w:ilvl="3" w:tplc="DEACFFDE">
      <w:start w:val="1"/>
      <w:numFmt w:val="bullet"/>
      <w:lvlText w:val="•"/>
      <w:lvlJc w:val="left"/>
      <w:pPr>
        <w:ind w:left="6321" w:hanging="151"/>
      </w:pPr>
      <w:rPr>
        <w:rFonts w:hint="default"/>
      </w:rPr>
    </w:lvl>
    <w:lvl w:ilvl="4" w:tplc="A6404DDC">
      <w:start w:val="1"/>
      <w:numFmt w:val="bullet"/>
      <w:lvlText w:val="•"/>
      <w:lvlJc w:val="left"/>
      <w:pPr>
        <w:ind w:left="7101" w:hanging="151"/>
      </w:pPr>
      <w:rPr>
        <w:rFonts w:hint="default"/>
      </w:rPr>
    </w:lvl>
    <w:lvl w:ilvl="5" w:tplc="6B0C2FEE">
      <w:start w:val="1"/>
      <w:numFmt w:val="bullet"/>
      <w:lvlText w:val="•"/>
      <w:lvlJc w:val="left"/>
      <w:pPr>
        <w:ind w:left="7881" w:hanging="151"/>
      </w:pPr>
      <w:rPr>
        <w:rFonts w:hint="default"/>
      </w:rPr>
    </w:lvl>
    <w:lvl w:ilvl="6" w:tplc="2BACD190">
      <w:start w:val="1"/>
      <w:numFmt w:val="bullet"/>
      <w:lvlText w:val="•"/>
      <w:lvlJc w:val="left"/>
      <w:pPr>
        <w:ind w:left="8660" w:hanging="151"/>
      </w:pPr>
      <w:rPr>
        <w:rFonts w:hint="default"/>
      </w:rPr>
    </w:lvl>
    <w:lvl w:ilvl="7" w:tplc="1192788A">
      <w:start w:val="1"/>
      <w:numFmt w:val="bullet"/>
      <w:lvlText w:val="•"/>
      <w:lvlJc w:val="left"/>
      <w:pPr>
        <w:ind w:left="9440" w:hanging="151"/>
      </w:pPr>
      <w:rPr>
        <w:rFonts w:hint="default"/>
      </w:rPr>
    </w:lvl>
    <w:lvl w:ilvl="8" w:tplc="CE8EB460">
      <w:start w:val="1"/>
      <w:numFmt w:val="bullet"/>
      <w:lvlText w:val="•"/>
      <w:lvlJc w:val="left"/>
      <w:pPr>
        <w:ind w:left="10220" w:hanging="151"/>
      </w:pPr>
      <w:rPr>
        <w:rFonts w:hint="default"/>
      </w:rPr>
    </w:lvl>
  </w:abstractNum>
  <w:num w:numId="1" w16cid:durableId="752626366">
    <w:abstractNumId w:val="1"/>
  </w:num>
  <w:num w:numId="2" w16cid:durableId="508371793">
    <w:abstractNumId w:val="2"/>
  </w:num>
  <w:num w:numId="3" w16cid:durableId="1377387739">
    <w:abstractNumId w:val="0"/>
  </w:num>
  <w:num w:numId="4" w16cid:durableId="236060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A6C3A"/>
    <w:rsid w:val="0012179F"/>
    <w:rsid w:val="004F014A"/>
    <w:rsid w:val="00703255"/>
    <w:rsid w:val="00CA15A3"/>
    <w:rsid w:val="00CD544F"/>
    <w:rsid w:val="00D57D3F"/>
    <w:rsid w:val="00DA6C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4F5A"/>
  <w15:docId w15:val="{47681DEE-28E9-45D5-B588-A21CD33A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1725"/>
      <w:outlineLvl w:val="0"/>
    </w:pPr>
    <w:rPr>
      <w:rFonts w:ascii="Verdana" w:eastAsia="Verdana" w:hAnsi="Verdana"/>
      <w:b/>
      <w:bCs/>
      <w:sz w:val="18"/>
      <w:szCs w:val="18"/>
    </w:rPr>
  </w:style>
  <w:style w:type="paragraph" w:styleId="Overskrift2">
    <w:name w:val="heading 2"/>
    <w:basedOn w:val="Normal"/>
    <w:uiPriority w:val="9"/>
    <w:unhideWhenUsed/>
    <w:qFormat/>
    <w:pPr>
      <w:ind w:left="1725"/>
      <w:outlineLvl w:val="1"/>
    </w:pPr>
    <w:rPr>
      <w:rFonts w:ascii="Verdana" w:eastAsia="Verdana" w:hAnsi="Verdana"/>
      <w:b/>
      <w:bCs/>
      <w:sz w:val="15"/>
      <w:szCs w:val="15"/>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7"/>
    </w:pPr>
    <w:rPr>
      <w:rFonts w:ascii="Verdana" w:eastAsia="Verdana" w:hAnsi="Verdana"/>
      <w:sz w:val="15"/>
      <w:szCs w:val="15"/>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Merknadstekst">
    <w:name w:val="annotation text"/>
    <w:basedOn w:val="Normal"/>
    <w:uiPriority w:val="99"/>
    <w:semiHidden/>
    <w:unhideWhenUsed/>
    <w:rPr>
      <w:sz w:val="20"/>
      <w:szCs w:val="20"/>
    </w:rPr>
  </w:style>
  <w:style w:type="character" w:styleId="Merknadsreferans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4189</Characters>
  <Application>Microsoft Office Word</Application>
  <DocSecurity>4</DocSecurity>
  <Lines>97</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Kine Knutsen Angeltveit</cp:lastModifiedBy>
  <cp:revision>2</cp:revision>
  <dcterms:created xsi:type="dcterms:W3CDTF">2023-05-16T11:49:00Z</dcterms:created>
  <dcterms:modified xsi:type="dcterms:W3CDTF">2023-05-16T11:49:00Z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LastSaved">
    <vt:filetime>2022-01-26T00:00:00Z</vt:filetime>
  </property>
</Properties>
</file>