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9DB" w:rsidRPr="00FB541B" w:rsidRDefault="007E19DB" w:rsidP="007E19DB">
      <w:pPr>
        <w:rPr>
          <w:b/>
        </w:rPr>
      </w:pPr>
      <w:r>
        <w:rPr>
          <w:b/>
        </w:rPr>
        <w:t>Forskrift om</w:t>
      </w:r>
      <w:r w:rsidRPr="00FB541B">
        <w:rPr>
          <w:b/>
        </w:rPr>
        <w:t xml:space="preserve"> endring av </w:t>
      </w:r>
      <w:r w:rsidRPr="007C6E48">
        <w:rPr>
          <w:b/>
        </w:rPr>
        <w:t>forskrift 30. mai 2012 nr</w:t>
      </w:r>
      <w:r>
        <w:rPr>
          <w:b/>
        </w:rPr>
        <w:t>.</w:t>
      </w:r>
      <w:r w:rsidRPr="007C6E48">
        <w:rPr>
          <w:b/>
        </w:rPr>
        <w:t xml:space="preserve"> 488</w:t>
      </w:r>
      <w:r w:rsidRPr="00FB541B">
        <w:rPr>
          <w:b/>
        </w:rPr>
        <w:t xml:space="preserve"> om </w:t>
      </w:r>
      <w:r>
        <w:rPr>
          <w:b/>
        </w:rPr>
        <w:t>miljømessig sikkerhet for skip og flyttbare innretninger</w:t>
      </w:r>
      <w:r w:rsidRPr="00FB541B">
        <w:rPr>
          <w:b/>
        </w:rPr>
        <w:t xml:space="preserve"> </w:t>
      </w:r>
    </w:p>
    <w:p w:rsidR="007E19DB" w:rsidRPr="00FB541B" w:rsidRDefault="007E19DB" w:rsidP="007E19DB">
      <w:pPr>
        <w:rPr>
          <w:b/>
        </w:rPr>
      </w:pPr>
    </w:p>
    <w:p w:rsidR="007E19DB" w:rsidRPr="00FB541B" w:rsidRDefault="007E19DB" w:rsidP="007E19DB">
      <w:r w:rsidRPr="00FB541B">
        <w:t xml:space="preserve">Fastsatt av </w:t>
      </w:r>
      <w:r>
        <w:t>Sjøfartsdirektoratet</w:t>
      </w:r>
      <w:r w:rsidRPr="00FB541B">
        <w:t xml:space="preserve"> </w:t>
      </w:r>
      <w:r>
        <w:t>31. juli 2013</w:t>
      </w:r>
      <w:r w:rsidRPr="00FB541B">
        <w:t xml:space="preserve"> med hjemmel i lov </w:t>
      </w:r>
      <w:r>
        <w:t>1</w:t>
      </w:r>
      <w:r w:rsidRPr="00FB541B">
        <w:t xml:space="preserve">6. februar 2007 nr. 9 om skipssikkerhet (skipssikkerhetsloven) §§ </w:t>
      </w:r>
      <w:r>
        <w:t>2, 13</w:t>
      </w:r>
      <w:r w:rsidRPr="00FB541B">
        <w:t>, 31, 32</w:t>
      </w:r>
      <w:r>
        <w:t>,</w:t>
      </w:r>
      <w:r w:rsidRPr="00FB541B">
        <w:t xml:space="preserve"> 33</w:t>
      </w:r>
      <w:r>
        <w:t>, 34, 35, 37 og 38, jf. kgl.res. 16. februar 2007 nr. 171, Nærings- og handelsdepartementets delegeringsvedtak 31. mai 2007 nr. 590 og Miljøverndepartementets delegeringsvedtak 29. juni 2007 nr. 849, lov 26. juni 1998 nr. 47 om fritids- og småbåter §§ 20, 21, 23, 25, 26, 38 og 39, jf. kgl.res. 27. november 1998 nr. 1095, kronprinsreg.res. 29. juni 2007 nr. 848, Nærings- og handelsdepartementets delegeringsvedtak 1. desember 1998 nr. 4532, Nærings- og handelsdepartementets delegeringsvedtak 31. mai 2007 nr. 591 og Miljøverndepartementets delegeringsvedtak 29. juni 2007 nr. 849.</w:t>
      </w:r>
    </w:p>
    <w:p w:rsidR="007E19DB" w:rsidRDefault="007E19DB" w:rsidP="007E19DB"/>
    <w:p w:rsidR="007E19DB" w:rsidRPr="00FB541B" w:rsidRDefault="007E19DB" w:rsidP="007E19DB"/>
    <w:p w:rsidR="007E19DB" w:rsidRPr="00FB541B" w:rsidRDefault="007E19DB" w:rsidP="007E19DB">
      <w:pPr>
        <w:jc w:val="center"/>
        <w:rPr>
          <w:b/>
        </w:rPr>
      </w:pPr>
      <w:r w:rsidRPr="00FB541B">
        <w:rPr>
          <w:b/>
        </w:rPr>
        <w:t>I</w:t>
      </w:r>
    </w:p>
    <w:p w:rsidR="007E19DB" w:rsidRPr="00FB541B" w:rsidRDefault="007E19DB" w:rsidP="007E19DB">
      <w:pPr>
        <w:rPr>
          <w:b/>
        </w:rPr>
      </w:pPr>
    </w:p>
    <w:p w:rsidR="007E19DB" w:rsidRPr="00F826EA" w:rsidRDefault="007E19DB" w:rsidP="007E19DB">
      <w:r w:rsidRPr="00FB541B">
        <w:t xml:space="preserve">I forskrift om </w:t>
      </w:r>
      <w:r w:rsidRPr="00531221">
        <w:t>miljømessig sikkerhet for skip og flyttbare innretninger</w:t>
      </w:r>
      <w:r w:rsidRPr="00FB541B">
        <w:t xml:space="preserve"> gjøres følgende endringer:</w:t>
      </w:r>
    </w:p>
    <w:p w:rsidR="007E19DB" w:rsidRDefault="007E19DB" w:rsidP="007E19DB"/>
    <w:p w:rsidR="007E19DB" w:rsidRDefault="007E19DB" w:rsidP="007E19DB"/>
    <w:p w:rsidR="007E19DB" w:rsidRDefault="007E19DB" w:rsidP="007E19DB">
      <w:bookmarkStart w:id="0" w:name="_GoBack"/>
      <w:bookmarkEnd w:id="0"/>
      <w:r>
        <w:t>§ 3 skal lyde:</w:t>
      </w:r>
    </w:p>
    <w:p w:rsidR="007E19DB" w:rsidRDefault="007E19DB" w:rsidP="007E19DB"/>
    <w:p w:rsidR="007E19DB" w:rsidRPr="00AF64F3" w:rsidRDefault="007E19DB" w:rsidP="007E19DB">
      <w:pPr>
        <w:spacing w:line="276" w:lineRule="auto"/>
        <w:rPr>
          <w:i/>
          <w:szCs w:val="24"/>
        </w:rPr>
      </w:pPr>
      <w:r w:rsidRPr="00AF64F3">
        <w:rPr>
          <w:szCs w:val="24"/>
        </w:rPr>
        <w:t>§ 3</w:t>
      </w:r>
      <w:r w:rsidRPr="00AF64F3">
        <w:rPr>
          <w:i/>
          <w:szCs w:val="24"/>
        </w:rPr>
        <w:t xml:space="preserve"> Dokumentasjon om den forurensende lasten</w:t>
      </w:r>
    </w:p>
    <w:p w:rsidR="007E19DB" w:rsidRPr="0007424E" w:rsidRDefault="007E19DB" w:rsidP="007E19DB">
      <w:pPr>
        <w:spacing w:line="276" w:lineRule="auto"/>
        <w:ind w:firstLine="426"/>
        <w:rPr>
          <w:i/>
          <w:sz w:val="23"/>
          <w:szCs w:val="23"/>
        </w:rPr>
      </w:pPr>
      <w:r w:rsidRPr="0007424E">
        <w:rPr>
          <w:i/>
          <w:sz w:val="23"/>
          <w:szCs w:val="23"/>
        </w:rPr>
        <w:t>Skipsføreren eller rederiet skal motta dokumentasjon om den forurensende lasten før lasten tas om bord på skipet. Dokumentasjonen skal inneholde opplysninger om</w:t>
      </w:r>
    </w:p>
    <w:p w:rsidR="007E19DB" w:rsidRPr="0007424E" w:rsidRDefault="007E19DB" w:rsidP="007E19DB">
      <w:pPr>
        <w:numPr>
          <w:ilvl w:val="0"/>
          <w:numId w:val="3"/>
        </w:numPr>
        <w:spacing w:after="200" w:line="276" w:lineRule="auto"/>
        <w:contextualSpacing/>
        <w:rPr>
          <w:i/>
          <w:color w:val="000000"/>
          <w:sz w:val="23"/>
          <w:szCs w:val="23"/>
        </w:rPr>
      </w:pPr>
      <w:r w:rsidRPr="0007424E">
        <w:rPr>
          <w:i/>
          <w:color w:val="000000"/>
          <w:sz w:val="23"/>
          <w:szCs w:val="23"/>
        </w:rPr>
        <w:t xml:space="preserve">korrekt teknisk betegnelse på </w:t>
      </w:r>
      <w:r>
        <w:rPr>
          <w:i/>
          <w:color w:val="000000"/>
          <w:sz w:val="23"/>
          <w:szCs w:val="23"/>
        </w:rPr>
        <w:t>den forurensend</w:t>
      </w:r>
      <w:r w:rsidRPr="0007424E">
        <w:rPr>
          <w:i/>
          <w:color w:val="000000"/>
          <w:sz w:val="23"/>
          <w:szCs w:val="23"/>
        </w:rPr>
        <w:t>e lasten med</w:t>
      </w:r>
    </w:p>
    <w:p w:rsidR="007E19DB" w:rsidRPr="0007424E" w:rsidRDefault="007E19DB" w:rsidP="007E19DB">
      <w:pPr>
        <w:numPr>
          <w:ilvl w:val="1"/>
          <w:numId w:val="3"/>
        </w:numPr>
        <w:spacing w:after="200" w:line="276" w:lineRule="auto"/>
        <w:contextualSpacing/>
        <w:rPr>
          <w:i/>
          <w:color w:val="000000"/>
          <w:sz w:val="23"/>
          <w:szCs w:val="23"/>
        </w:rPr>
      </w:pPr>
      <w:r w:rsidRPr="0007424E">
        <w:rPr>
          <w:i/>
          <w:color w:val="000000"/>
          <w:sz w:val="23"/>
          <w:szCs w:val="23"/>
        </w:rPr>
        <w:t xml:space="preserve">UN-numre når det finnes </w:t>
      </w:r>
    </w:p>
    <w:p w:rsidR="007E19DB" w:rsidRPr="0007424E" w:rsidRDefault="007E19DB" w:rsidP="007E19DB">
      <w:pPr>
        <w:numPr>
          <w:ilvl w:val="1"/>
          <w:numId w:val="3"/>
        </w:numPr>
        <w:spacing w:after="200" w:line="276" w:lineRule="auto"/>
        <w:contextualSpacing/>
        <w:rPr>
          <w:i/>
          <w:color w:val="000000"/>
          <w:sz w:val="23"/>
          <w:szCs w:val="23"/>
        </w:rPr>
      </w:pPr>
      <w:r w:rsidRPr="0007424E">
        <w:rPr>
          <w:i/>
          <w:color w:val="000000"/>
          <w:sz w:val="23"/>
          <w:szCs w:val="23"/>
        </w:rPr>
        <w:t>IMO-fareklassen i samsvar med</w:t>
      </w:r>
      <w:r w:rsidRPr="0007424E">
        <w:rPr>
          <w:rFonts w:ascii="Calibri" w:eastAsia="Calibri" w:hAnsi="Calibri"/>
          <w:i/>
          <w:sz w:val="22"/>
          <w:szCs w:val="22"/>
          <w:lang w:eastAsia="en-US"/>
        </w:rPr>
        <w:t xml:space="preserve"> </w:t>
      </w:r>
      <w:r w:rsidRPr="0007424E">
        <w:rPr>
          <w:i/>
          <w:color w:val="000000"/>
          <w:sz w:val="23"/>
          <w:szCs w:val="23"/>
        </w:rPr>
        <w:t>internasjonale regler for frakt av pakket farlig last til sjøs (IMDG-koden)</w:t>
      </w:r>
      <w:r w:rsidRPr="0007424E">
        <w:rPr>
          <w:rFonts w:ascii="Calibri" w:eastAsia="Calibri" w:hAnsi="Calibri"/>
          <w:i/>
          <w:sz w:val="22"/>
          <w:szCs w:val="22"/>
          <w:lang w:eastAsia="en-US"/>
        </w:rPr>
        <w:t xml:space="preserve">, </w:t>
      </w:r>
      <w:r w:rsidRPr="0007424E">
        <w:rPr>
          <w:i/>
          <w:color w:val="000000"/>
          <w:sz w:val="23"/>
          <w:szCs w:val="23"/>
        </w:rPr>
        <w:t>internasjonale regler for bygging og utrustning av skip som frakter farlige kjemikalier i bulk (IBC-koden), eller internasjonale regler for bygging og utrustning av skip som fører flytende gasser i bulk (IGC-koden).</w:t>
      </w:r>
    </w:p>
    <w:p w:rsidR="007E19DB" w:rsidRPr="0007424E" w:rsidRDefault="007E19DB" w:rsidP="007E19DB">
      <w:pPr>
        <w:numPr>
          <w:ilvl w:val="0"/>
          <w:numId w:val="3"/>
        </w:numPr>
        <w:spacing w:after="200" w:line="276" w:lineRule="auto"/>
        <w:contextualSpacing/>
        <w:rPr>
          <w:i/>
          <w:color w:val="000000"/>
          <w:sz w:val="23"/>
          <w:szCs w:val="23"/>
        </w:rPr>
      </w:pPr>
      <w:r w:rsidRPr="0007424E">
        <w:rPr>
          <w:i/>
          <w:color w:val="000000"/>
          <w:sz w:val="23"/>
          <w:szCs w:val="23"/>
        </w:rPr>
        <w:t xml:space="preserve">hvilken skipsklasse som kreves for </w:t>
      </w:r>
      <w:r>
        <w:rPr>
          <w:i/>
          <w:color w:val="000000"/>
          <w:sz w:val="23"/>
          <w:szCs w:val="23"/>
        </w:rPr>
        <w:t>å frakte den forurensend</w:t>
      </w:r>
      <w:r w:rsidRPr="0007424E">
        <w:rPr>
          <w:i/>
          <w:color w:val="000000"/>
          <w:sz w:val="23"/>
          <w:szCs w:val="23"/>
        </w:rPr>
        <w:t>e lasten i samsvar med de internasjonale sikkerhetsreglene for transport av pakket bestrålt kjernebrensel, plutonium og høyradioaktivt avfall på skip (INF-koden)</w:t>
      </w:r>
    </w:p>
    <w:p w:rsidR="007E19DB" w:rsidRPr="0007424E" w:rsidRDefault="007E19DB" w:rsidP="007E19DB">
      <w:pPr>
        <w:numPr>
          <w:ilvl w:val="0"/>
          <w:numId w:val="3"/>
        </w:numPr>
        <w:spacing w:after="200" w:line="276" w:lineRule="auto"/>
        <w:contextualSpacing/>
        <w:rPr>
          <w:i/>
          <w:color w:val="000000"/>
          <w:sz w:val="23"/>
          <w:szCs w:val="23"/>
        </w:rPr>
      </w:pPr>
      <w:r>
        <w:rPr>
          <w:i/>
          <w:color w:val="000000"/>
          <w:sz w:val="23"/>
          <w:szCs w:val="23"/>
        </w:rPr>
        <w:t>mengden forurensende</w:t>
      </w:r>
      <w:r w:rsidRPr="0007424E">
        <w:rPr>
          <w:i/>
          <w:color w:val="000000"/>
          <w:sz w:val="23"/>
          <w:szCs w:val="23"/>
        </w:rPr>
        <w:t xml:space="preserve"> last</w:t>
      </w:r>
    </w:p>
    <w:p w:rsidR="007E19DB" w:rsidRPr="0007424E" w:rsidRDefault="007E19DB" w:rsidP="007E19DB">
      <w:pPr>
        <w:numPr>
          <w:ilvl w:val="0"/>
          <w:numId w:val="3"/>
        </w:numPr>
        <w:spacing w:after="200" w:line="276" w:lineRule="auto"/>
        <w:contextualSpacing/>
        <w:rPr>
          <w:i/>
          <w:color w:val="000000"/>
          <w:sz w:val="23"/>
          <w:szCs w:val="23"/>
        </w:rPr>
      </w:pPr>
      <w:r w:rsidRPr="0007424E">
        <w:rPr>
          <w:i/>
          <w:color w:val="000000"/>
          <w:sz w:val="23"/>
          <w:szCs w:val="23"/>
        </w:rPr>
        <w:t xml:space="preserve">transportenhetens identifikasjonsnummer når </w:t>
      </w:r>
      <w:r>
        <w:rPr>
          <w:i/>
          <w:color w:val="000000"/>
          <w:sz w:val="23"/>
          <w:szCs w:val="23"/>
        </w:rPr>
        <w:t>den forurensend</w:t>
      </w:r>
      <w:r w:rsidRPr="0007424E">
        <w:rPr>
          <w:i/>
          <w:color w:val="000000"/>
          <w:sz w:val="23"/>
          <w:szCs w:val="23"/>
        </w:rPr>
        <w:t xml:space="preserve">e lasten transporteres i andre transportenheter enn tanker </w:t>
      </w:r>
    </w:p>
    <w:p w:rsidR="007E19DB" w:rsidRPr="0007424E" w:rsidRDefault="007E19DB" w:rsidP="007E19DB">
      <w:pPr>
        <w:numPr>
          <w:ilvl w:val="0"/>
          <w:numId w:val="3"/>
        </w:numPr>
        <w:spacing w:after="200" w:line="276" w:lineRule="auto"/>
        <w:contextualSpacing/>
        <w:rPr>
          <w:i/>
          <w:color w:val="000000"/>
          <w:sz w:val="23"/>
          <w:szCs w:val="23"/>
        </w:rPr>
      </w:pPr>
      <w:r w:rsidRPr="0007424E">
        <w:rPr>
          <w:i/>
          <w:color w:val="000000"/>
          <w:sz w:val="23"/>
          <w:szCs w:val="23"/>
        </w:rPr>
        <w:t xml:space="preserve">nødnumrene til avskiperen eller en annen person eller instans som har kunnskap om </w:t>
      </w:r>
      <w:r>
        <w:rPr>
          <w:i/>
          <w:color w:val="000000"/>
          <w:sz w:val="23"/>
          <w:szCs w:val="23"/>
        </w:rPr>
        <w:t>den forurensende</w:t>
      </w:r>
      <w:r w:rsidRPr="0007424E">
        <w:rPr>
          <w:i/>
          <w:color w:val="000000"/>
          <w:sz w:val="23"/>
          <w:szCs w:val="23"/>
        </w:rPr>
        <w:t xml:space="preserve"> lastens fysisk-kjemiske egenskaper og om nødvendige tiltak i tilfelle en nødssituasjon.</w:t>
      </w:r>
    </w:p>
    <w:p w:rsidR="007E19DB" w:rsidRPr="0007424E" w:rsidRDefault="007E19DB" w:rsidP="007E19DB">
      <w:pPr>
        <w:spacing w:line="276" w:lineRule="auto"/>
        <w:ind w:left="360"/>
        <w:rPr>
          <w:rFonts w:cs="Helvetica 95"/>
          <w:i/>
          <w:color w:val="000000"/>
          <w:sz w:val="23"/>
          <w:szCs w:val="23"/>
        </w:rPr>
      </w:pPr>
      <w:r w:rsidRPr="0007424E">
        <w:rPr>
          <w:rFonts w:cs="Helvetica 95"/>
          <w:i/>
          <w:color w:val="000000"/>
          <w:sz w:val="23"/>
          <w:szCs w:val="23"/>
        </w:rPr>
        <w:t>Dokumentasjonen skal være tilgjengelig om bord på skipet.</w:t>
      </w:r>
    </w:p>
    <w:p w:rsidR="007E19DB" w:rsidRPr="0007424E" w:rsidRDefault="007E19DB" w:rsidP="007E19DB">
      <w:pPr>
        <w:spacing w:line="276" w:lineRule="auto"/>
        <w:ind w:left="360"/>
        <w:rPr>
          <w:rFonts w:cs="Helvetica 95"/>
          <w:i/>
          <w:color w:val="000000"/>
          <w:sz w:val="23"/>
          <w:szCs w:val="23"/>
        </w:rPr>
      </w:pPr>
      <w:r w:rsidRPr="0007424E">
        <w:rPr>
          <w:rFonts w:cs="Helvetica 95"/>
          <w:i/>
          <w:color w:val="000000"/>
          <w:sz w:val="23"/>
          <w:szCs w:val="23"/>
        </w:rPr>
        <w:t>For last som omfattes av § 4 skal informasjonen omfatte opplysninger som framgår av vedlegg 1.</w:t>
      </w:r>
    </w:p>
    <w:p w:rsidR="007E19DB" w:rsidRDefault="007E19DB" w:rsidP="007E19DB"/>
    <w:p w:rsidR="007E19DB" w:rsidRDefault="007E19DB" w:rsidP="007E19DB"/>
    <w:p w:rsidR="007E19DB" w:rsidRDefault="007E19DB" w:rsidP="007E19DB"/>
    <w:p w:rsidR="007E19DB" w:rsidRPr="00E43B6B" w:rsidRDefault="007E19DB" w:rsidP="007E19DB">
      <w:r w:rsidRPr="00E43B6B">
        <w:t xml:space="preserve">§ </w:t>
      </w:r>
      <w:r>
        <w:t xml:space="preserve">4 første ledd </w:t>
      </w:r>
      <w:r w:rsidRPr="00E43B6B">
        <w:t>skal lyde:</w:t>
      </w:r>
    </w:p>
    <w:p w:rsidR="007E19DB" w:rsidRPr="00B15746" w:rsidRDefault="007E19DB" w:rsidP="007E19DB">
      <w:pPr>
        <w:ind w:firstLine="708"/>
      </w:pPr>
    </w:p>
    <w:p w:rsidR="007E19DB" w:rsidRDefault="007E19DB" w:rsidP="007E19DB">
      <w:pPr>
        <w:ind w:firstLine="708"/>
      </w:pPr>
      <w:r>
        <w:t>Den internasjonale konvensjon om hindring av forurensning fra skip (</w:t>
      </w:r>
      <w:r w:rsidRPr="001D0D95">
        <w:t>MARPOL</w:t>
      </w:r>
      <w:r>
        <w:t>)</w:t>
      </w:r>
      <w:r w:rsidRPr="001D0D95">
        <w:t xml:space="preserve"> konsolidert utgave 2011 </w:t>
      </w:r>
      <w:r>
        <w:t>vedlegg I</w:t>
      </w:r>
      <w:r w:rsidRPr="001D0D95">
        <w:t xml:space="preserve"> om hindring av</w:t>
      </w:r>
      <w:r>
        <w:t xml:space="preserve"> </w:t>
      </w:r>
      <w:r w:rsidRPr="00111603">
        <w:rPr>
          <w:i/>
        </w:rPr>
        <w:t>oljeforurensning</w:t>
      </w:r>
      <w:r>
        <w:rPr>
          <w:i/>
        </w:rPr>
        <w:t xml:space="preserve"> som endret ved MEPC.216(63), unntatt </w:t>
      </w:r>
      <w:r>
        <w:t>regel I/42, gjelder som forskrift.</w:t>
      </w:r>
    </w:p>
    <w:p w:rsidR="007E19DB" w:rsidRDefault="007E19DB" w:rsidP="007E19DB">
      <w:pPr>
        <w:ind w:firstLine="708"/>
      </w:pPr>
    </w:p>
    <w:p w:rsidR="007E19DB" w:rsidRDefault="007E19DB" w:rsidP="007E19DB">
      <w:pPr>
        <w:ind w:firstLine="708"/>
      </w:pPr>
    </w:p>
    <w:p w:rsidR="007E19DB" w:rsidRPr="005D62FD" w:rsidRDefault="007E19DB" w:rsidP="007E19DB">
      <w:pPr>
        <w:ind w:firstLine="708"/>
      </w:pPr>
    </w:p>
    <w:p w:rsidR="007E19DB" w:rsidRPr="00E43B6B" w:rsidRDefault="007E19DB" w:rsidP="007E19DB">
      <w:r w:rsidRPr="00E43B6B">
        <w:t xml:space="preserve">§ </w:t>
      </w:r>
      <w:r>
        <w:t xml:space="preserve">7 første ledd </w:t>
      </w:r>
      <w:r w:rsidRPr="00E43B6B">
        <w:t>skal lyde:</w:t>
      </w:r>
    </w:p>
    <w:p w:rsidR="007E19DB" w:rsidRPr="00B15746" w:rsidRDefault="007E19DB" w:rsidP="007E19DB">
      <w:pPr>
        <w:ind w:firstLine="708"/>
      </w:pPr>
    </w:p>
    <w:p w:rsidR="007E19DB" w:rsidRDefault="007E19DB" w:rsidP="007E19DB">
      <w:pPr>
        <w:ind w:firstLine="708"/>
        <w:rPr>
          <w:i/>
        </w:rPr>
      </w:pPr>
      <w:r w:rsidRPr="001D0D95">
        <w:lastRenderedPageBreak/>
        <w:t xml:space="preserve">MARPOL konsolidert utgave 2011 </w:t>
      </w:r>
      <w:r>
        <w:t>vedlegg II</w:t>
      </w:r>
      <w:r w:rsidRPr="001D0D95">
        <w:t xml:space="preserve"> om hindring av</w:t>
      </w:r>
      <w:r w:rsidRPr="00531221">
        <w:rPr>
          <w:i/>
        </w:rPr>
        <w:t xml:space="preserve"> </w:t>
      </w:r>
      <w:r w:rsidRPr="00111603">
        <w:t>forurensning</w:t>
      </w:r>
      <w:r>
        <w:t xml:space="preserve"> fra skadelige flytende stoffer i </w:t>
      </w:r>
      <w:r w:rsidRPr="00111603">
        <w:rPr>
          <w:i/>
        </w:rPr>
        <w:t>bulk</w:t>
      </w:r>
      <w:r>
        <w:rPr>
          <w:i/>
        </w:rPr>
        <w:t xml:space="preserve"> som endret ved MEPC.216(63</w:t>
      </w:r>
      <w:r w:rsidRPr="00531221">
        <w:rPr>
          <w:i/>
        </w:rPr>
        <w:t xml:space="preserve">) gjelder </w:t>
      </w:r>
      <w:r w:rsidRPr="007C6E48">
        <w:t xml:space="preserve">som </w:t>
      </w:r>
      <w:r w:rsidRPr="00751D8F">
        <w:rPr>
          <w:i/>
        </w:rPr>
        <w:t>forskrift</w:t>
      </w:r>
      <w:r>
        <w:rPr>
          <w:i/>
        </w:rPr>
        <w:t>.</w:t>
      </w:r>
      <w:r w:rsidRPr="00531221">
        <w:rPr>
          <w:i/>
        </w:rPr>
        <w:t xml:space="preserve"> </w:t>
      </w:r>
      <w:r>
        <w:rPr>
          <w:i/>
        </w:rPr>
        <w:t>Tilsvarende gjelder for skip som går i innenriks fart.</w:t>
      </w:r>
    </w:p>
    <w:p w:rsidR="007E19DB" w:rsidRDefault="007E19DB" w:rsidP="007E19DB">
      <w:pPr>
        <w:ind w:firstLine="708"/>
      </w:pPr>
    </w:p>
    <w:p w:rsidR="007E19DB" w:rsidRDefault="007E19DB" w:rsidP="007E19DB">
      <w:pPr>
        <w:ind w:firstLine="708"/>
      </w:pPr>
    </w:p>
    <w:p w:rsidR="007E19DB" w:rsidRPr="005D62FD" w:rsidRDefault="007E19DB" w:rsidP="007E19DB">
      <w:pPr>
        <w:ind w:firstLine="708"/>
      </w:pPr>
    </w:p>
    <w:p w:rsidR="007E19DB" w:rsidRDefault="007E19DB" w:rsidP="007E19DB">
      <w:r>
        <w:t>§ 7 tredje ledd skal lyde:</w:t>
      </w:r>
    </w:p>
    <w:p w:rsidR="007E19DB" w:rsidRDefault="007E19DB" w:rsidP="007E19DB"/>
    <w:p w:rsidR="007E19DB" w:rsidRPr="00274D31" w:rsidRDefault="007E19DB" w:rsidP="007E19DB">
      <w:pPr>
        <w:spacing w:line="276" w:lineRule="auto"/>
        <w:ind w:firstLine="360"/>
        <w:rPr>
          <w:rFonts w:eastAsia="Calibri"/>
          <w:i/>
          <w:sz w:val="23"/>
          <w:szCs w:val="23"/>
          <w:lang w:eastAsia="en-US"/>
        </w:rPr>
      </w:pPr>
      <w:r w:rsidRPr="00274D31">
        <w:rPr>
          <w:rFonts w:eastAsia="Calibri"/>
          <w:i/>
          <w:sz w:val="23"/>
          <w:szCs w:val="23"/>
          <w:lang w:eastAsia="en-US"/>
        </w:rPr>
        <w:t>Dersom et skip som brukes i en støttefunksjon i petroleumsvirksomheten offshore,</w:t>
      </w:r>
      <w:r>
        <w:rPr>
          <w:rFonts w:eastAsia="Calibri"/>
          <w:i/>
          <w:sz w:val="23"/>
          <w:szCs w:val="23"/>
          <w:lang w:eastAsia="en-US"/>
        </w:rPr>
        <w:t xml:space="preserve"> fører begrensede mengder av skade</w:t>
      </w:r>
      <w:r w:rsidRPr="00274D31">
        <w:rPr>
          <w:rFonts w:eastAsia="Calibri"/>
          <w:i/>
          <w:sz w:val="23"/>
          <w:szCs w:val="23"/>
          <w:lang w:eastAsia="en-US"/>
        </w:rPr>
        <w:t>lig</w:t>
      </w:r>
      <w:r>
        <w:rPr>
          <w:rFonts w:eastAsia="Calibri"/>
          <w:i/>
          <w:sz w:val="23"/>
          <w:szCs w:val="23"/>
          <w:lang w:eastAsia="en-US"/>
        </w:rPr>
        <w:t>e</w:t>
      </w:r>
      <w:r w:rsidRPr="00274D31">
        <w:rPr>
          <w:rFonts w:eastAsia="Calibri"/>
          <w:i/>
          <w:sz w:val="23"/>
          <w:szCs w:val="23"/>
          <w:lang w:eastAsia="en-US"/>
        </w:rPr>
        <w:t xml:space="preserve"> flytende stoff i bulk og følger FNs</w:t>
      </w:r>
      <w:r w:rsidRPr="00274D31">
        <w:rPr>
          <w:rFonts w:ascii="Calibri" w:eastAsia="Calibri" w:hAnsi="Calibri"/>
          <w:i/>
          <w:sz w:val="22"/>
          <w:szCs w:val="22"/>
          <w:lang w:eastAsia="en-US"/>
        </w:rPr>
        <w:t xml:space="preserve"> </w:t>
      </w:r>
      <w:r w:rsidRPr="00274D31">
        <w:rPr>
          <w:rFonts w:eastAsia="Calibri"/>
          <w:i/>
          <w:sz w:val="23"/>
          <w:szCs w:val="23"/>
          <w:lang w:eastAsia="en-US"/>
        </w:rPr>
        <w:t>sjøfartsorganisasjons retningslinjer for transport og håndter</w:t>
      </w:r>
      <w:r>
        <w:rPr>
          <w:rFonts w:eastAsia="Calibri"/>
          <w:i/>
          <w:sz w:val="23"/>
          <w:szCs w:val="23"/>
          <w:lang w:eastAsia="en-US"/>
        </w:rPr>
        <w:t>ing av begrensede mengder skadelig</w:t>
      </w:r>
      <w:r w:rsidRPr="00274D31">
        <w:rPr>
          <w:rFonts w:eastAsia="Calibri"/>
          <w:i/>
          <w:sz w:val="23"/>
          <w:szCs w:val="23"/>
          <w:lang w:eastAsia="en-US"/>
        </w:rPr>
        <w:t>e flytende stoffer i bulk på offshore støttefartøy, jf. resolusj</w:t>
      </w:r>
      <w:r>
        <w:rPr>
          <w:rFonts w:eastAsia="Calibri"/>
          <w:i/>
          <w:sz w:val="23"/>
          <w:szCs w:val="23"/>
          <w:lang w:eastAsia="en-US"/>
        </w:rPr>
        <w:t xml:space="preserve">on A.673(16), som endret ved </w:t>
      </w:r>
      <w:r w:rsidRPr="00C021F2">
        <w:rPr>
          <w:rFonts w:eastAsia="Calibri"/>
          <w:i/>
          <w:sz w:val="23"/>
          <w:szCs w:val="23"/>
          <w:lang w:eastAsia="en-US"/>
        </w:rPr>
        <w:t>MEPC.158(55),</w:t>
      </w:r>
      <w:r w:rsidRPr="00274D31">
        <w:rPr>
          <w:rFonts w:eastAsia="Calibri"/>
          <w:i/>
          <w:sz w:val="23"/>
          <w:szCs w:val="23"/>
          <w:lang w:eastAsia="en-US"/>
        </w:rPr>
        <w:t xml:space="preserve"> kan skip</w:t>
      </w:r>
      <w:r>
        <w:rPr>
          <w:rFonts w:eastAsia="Calibri"/>
          <w:i/>
          <w:sz w:val="23"/>
          <w:szCs w:val="23"/>
          <w:lang w:eastAsia="en-US"/>
        </w:rPr>
        <w:t>et unnlate å følge kravene i første ledd</w:t>
      </w:r>
      <w:r w:rsidRPr="00274D31">
        <w:rPr>
          <w:rFonts w:eastAsia="Calibri"/>
          <w:i/>
          <w:sz w:val="23"/>
          <w:szCs w:val="23"/>
          <w:lang w:eastAsia="en-US"/>
        </w:rPr>
        <w:t>.</w:t>
      </w:r>
      <w:r>
        <w:rPr>
          <w:rFonts w:eastAsia="Calibri"/>
          <w:i/>
          <w:sz w:val="23"/>
          <w:szCs w:val="23"/>
          <w:lang w:eastAsia="en-US"/>
        </w:rPr>
        <w:t xml:space="preserve"> </w:t>
      </w:r>
      <w:r w:rsidRPr="00274D31">
        <w:rPr>
          <w:i/>
          <w:sz w:val="23"/>
          <w:szCs w:val="23"/>
        </w:rPr>
        <w:t>Med et skip som brukes i en støttefunksjon menes</w:t>
      </w:r>
    </w:p>
    <w:p w:rsidR="007E19DB" w:rsidRDefault="007E19DB" w:rsidP="007E19DB">
      <w:pPr>
        <w:numPr>
          <w:ilvl w:val="0"/>
          <w:numId w:val="4"/>
        </w:numPr>
        <w:spacing w:after="200" w:line="276" w:lineRule="auto"/>
        <w:contextualSpacing/>
        <w:rPr>
          <w:rFonts w:eastAsia="Calibri"/>
          <w:i/>
          <w:sz w:val="23"/>
          <w:szCs w:val="23"/>
          <w:lang w:eastAsia="en-US"/>
        </w:rPr>
      </w:pPr>
      <w:r w:rsidRPr="00274D31">
        <w:rPr>
          <w:rFonts w:eastAsia="Calibri"/>
          <w:i/>
          <w:sz w:val="23"/>
          <w:szCs w:val="23"/>
          <w:lang w:eastAsia="en-US"/>
        </w:rPr>
        <w:t>et skip som primært brukes til transport av forråd, materialer og utstyr til og fra en fast eller flyttbar boreinnretning eller installasjon og andre liknende offshoreinstallasjoner</w:t>
      </w:r>
    </w:p>
    <w:p w:rsidR="007E19DB" w:rsidRPr="00A10D75" w:rsidRDefault="007E19DB" w:rsidP="007E19DB">
      <w:pPr>
        <w:numPr>
          <w:ilvl w:val="0"/>
          <w:numId w:val="4"/>
        </w:numPr>
        <w:spacing w:after="200" w:line="276" w:lineRule="auto"/>
        <w:contextualSpacing/>
        <w:rPr>
          <w:rFonts w:eastAsia="Calibri"/>
          <w:i/>
          <w:sz w:val="23"/>
          <w:szCs w:val="23"/>
          <w:lang w:eastAsia="en-US"/>
        </w:rPr>
      </w:pPr>
      <w:r w:rsidRPr="00A10D75">
        <w:rPr>
          <w:rFonts w:eastAsia="Calibri"/>
          <w:i/>
          <w:sz w:val="23"/>
          <w:szCs w:val="23"/>
          <w:lang w:eastAsia="en-US"/>
        </w:rPr>
        <w:t>et skip, herunder et brønnstimuleringsfartøy, som primært brukes til å støtte driften av en offshoreinstallasjon. Flyttbare boreinnretninger, kranlektere, rørleggingslektere eller flytende boligenheter er ikke skip som brukes i en støttefunksjon.</w:t>
      </w:r>
    </w:p>
    <w:p w:rsidR="007E19DB" w:rsidRDefault="007E19DB" w:rsidP="007E19DB"/>
    <w:p w:rsidR="007E19DB" w:rsidRDefault="007E19DB" w:rsidP="007E19DB"/>
    <w:p w:rsidR="007E19DB" w:rsidRDefault="007E19DB" w:rsidP="007E19DB"/>
    <w:p w:rsidR="007E19DB" w:rsidRPr="00E43B6B" w:rsidRDefault="007E19DB" w:rsidP="007E19DB">
      <w:r w:rsidRPr="00E43B6B">
        <w:t xml:space="preserve">§ </w:t>
      </w:r>
      <w:r>
        <w:t xml:space="preserve">7 nytt fjerde ledd </w:t>
      </w:r>
      <w:r w:rsidRPr="00E43B6B">
        <w:t>skal lyde:</w:t>
      </w:r>
    </w:p>
    <w:p w:rsidR="007E19DB" w:rsidRDefault="007E19DB" w:rsidP="007E19DB">
      <w:pPr>
        <w:ind w:firstLine="558"/>
        <w:rPr>
          <w:i/>
          <w:sz w:val="23"/>
        </w:rPr>
      </w:pPr>
    </w:p>
    <w:p w:rsidR="007E19DB" w:rsidRPr="00274D31" w:rsidRDefault="007E19DB" w:rsidP="007E19DB">
      <w:pPr>
        <w:ind w:firstLine="558"/>
        <w:rPr>
          <w:i/>
          <w:sz w:val="23"/>
        </w:rPr>
      </w:pPr>
      <w:r w:rsidRPr="00274D31">
        <w:rPr>
          <w:i/>
          <w:sz w:val="23"/>
        </w:rPr>
        <w:t>Sjøfartsdirektoratet kan unnta et skip i innenriksfart fra ett eller flere av kravene i første ledd dersom rederiet søker skriftlig om unntak og et av følgende krav er oppfylt</w:t>
      </w:r>
    </w:p>
    <w:p w:rsidR="007E19DB" w:rsidRPr="00274D31" w:rsidRDefault="007E19DB" w:rsidP="007E19DB">
      <w:pPr>
        <w:pStyle w:val="Listeavsnitt"/>
        <w:numPr>
          <w:ilvl w:val="0"/>
          <w:numId w:val="1"/>
        </w:numPr>
        <w:spacing w:line="276" w:lineRule="auto"/>
        <w:rPr>
          <w:i/>
          <w:sz w:val="23"/>
        </w:rPr>
      </w:pPr>
      <w:r w:rsidRPr="00274D31">
        <w:rPr>
          <w:i/>
          <w:sz w:val="23"/>
        </w:rPr>
        <w:t>det godtg</w:t>
      </w:r>
      <w:r>
        <w:rPr>
          <w:i/>
          <w:sz w:val="23"/>
        </w:rPr>
        <w:t xml:space="preserve">jøres at kravet ikke er </w:t>
      </w:r>
      <w:r w:rsidRPr="00C021F2">
        <w:rPr>
          <w:i/>
          <w:sz w:val="23"/>
        </w:rPr>
        <w:t>vesentlig</w:t>
      </w:r>
      <w:r w:rsidRPr="00274D31">
        <w:rPr>
          <w:i/>
          <w:sz w:val="23"/>
        </w:rPr>
        <w:t xml:space="preserve"> og at det anses sikkerhetsmessig forsvarlig</w:t>
      </w:r>
    </w:p>
    <w:p w:rsidR="007E19DB" w:rsidRPr="00274D31" w:rsidRDefault="007E19DB" w:rsidP="007E19DB">
      <w:pPr>
        <w:pStyle w:val="Listeavsnitt"/>
        <w:numPr>
          <w:ilvl w:val="0"/>
          <w:numId w:val="1"/>
        </w:numPr>
        <w:spacing w:line="276" w:lineRule="auto"/>
        <w:rPr>
          <w:i/>
          <w:sz w:val="23"/>
        </w:rPr>
      </w:pPr>
      <w:r w:rsidRPr="00274D31">
        <w:rPr>
          <w:i/>
          <w:sz w:val="23"/>
        </w:rPr>
        <w:t xml:space="preserve">det godtgjøres at kompenserende tiltak vil opprettholde samme sikkerhetsnivå som kravet i </w:t>
      </w:r>
      <w:proofErr w:type="spellStart"/>
      <w:r w:rsidRPr="00274D31">
        <w:rPr>
          <w:i/>
          <w:sz w:val="23"/>
        </w:rPr>
        <w:t>forskriften</w:t>
      </w:r>
      <w:proofErr w:type="spellEnd"/>
      <w:r w:rsidRPr="00274D31">
        <w:rPr>
          <w:i/>
          <w:sz w:val="23"/>
        </w:rPr>
        <w:t>.</w:t>
      </w:r>
    </w:p>
    <w:p w:rsidR="007E19DB" w:rsidRDefault="007E19DB" w:rsidP="007E19DB"/>
    <w:p w:rsidR="007E19DB" w:rsidRDefault="007E19DB" w:rsidP="007E19DB"/>
    <w:p w:rsidR="007E19DB" w:rsidRDefault="007E19DB" w:rsidP="007E19DB"/>
    <w:p w:rsidR="007E19DB" w:rsidRPr="00E43B6B" w:rsidRDefault="007E19DB" w:rsidP="007E19DB">
      <w:r w:rsidRPr="00E43B6B">
        <w:t xml:space="preserve">§ </w:t>
      </w:r>
      <w:r>
        <w:t xml:space="preserve">9 første ledd </w:t>
      </w:r>
      <w:r w:rsidRPr="00E43B6B">
        <w:t>skal lyde:</w:t>
      </w:r>
    </w:p>
    <w:p w:rsidR="007E19DB" w:rsidRPr="00B15746" w:rsidRDefault="007E19DB" w:rsidP="007E19DB">
      <w:pPr>
        <w:ind w:firstLine="708"/>
      </w:pPr>
    </w:p>
    <w:p w:rsidR="007E19DB" w:rsidRPr="005D62FD" w:rsidRDefault="007E19DB" w:rsidP="007E19DB">
      <w:pPr>
        <w:ind w:firstLine="708"/>
      </w:pPr>
      <w:r w:rsidRPr="001D0D95">
        <w:t xml:space="preserve">MARPOL konsolidert utgave 2011 vedlegg IV om hindring </w:t>
      </w:r>
      <w:r w:rsidRPr="00111603">
        <w:t xml:space="preserve">av </w:t>
      </w:r>
      <w:r>
        <w:t>kloakk</w:t>
      </w:r>
      <w:r w:rsidRPr="00111603">
        <w:t xml:space="preserve">forurensning som endret ved </w:t>
      </w:r>
      <w:r w:rsidRPr="009B7162">
        <w:t>MEPC.200(62)</w:t>
      </w:r>
      <w:r w:rsidRPr="00531221">
        <w:rPr>
          <w:i/>
        </w:rPr>
        <w:t xml:space="preserve"> </w:t>
      </w:r>
      <w:r>
        <w:rPr>
          <w:i/>
        </w:rPr>
        <w:t xml:space="preserve">og MEPC.216(63) </w:t>
      </w:r>
      <w:r w:rsidRPr="00531221">
        <w:rPr>
          <w:i/>
        </w:rPr>
        <w:t xml:space="preserve">gjelder </w:t>
      </w:r>
      <w:r w:rsidRPr="007C6E48">
        <w:t>som forskrift</w:t>
      </w:r>
      <w:r>
        <w:rPr>
          <w:i/>
        </w:rPr>
        <w:t>.</w:t>
      </w:r>
      <w:r w:rsidRPr="00531221">
        <w:rPr>
          <w:i/>
        </w:rPr>
        <w:t xml:space="preserve"> </w:t>
      </w:r>
      <w:r>
        <w:t>Med «skip» menes i MARPOL også flyttbare innretninger.</w:t>
      </w:r>
    </w:p>
    <w:p w:rsidR="007E19DB" w:rsidRDefault="007E19DB" w:rsidP="007E19DB"/>
    <w:p w:rsidR="007E19DB" w:rsidRDefault="007E19DB" w:rsidP="007E19DB"/>
    <w:p w:rsidR="007E19DB" w:rsidRPr="005D62FD" w:rsidRDefault="007E19DB" w:rsidP="007E19DB"/>
    <w:p w:rsidR="007E19DB" w:rsidRPr="00E43B6B" w:rsidRDefault="007E19DB" w:rsidP="007E19DB">
      <w:r w:rsidRPr="00E43B6B">
        <w:t xml:space="preserve">§ </w:t>
      </w:r>
      <w:r>
        <w:t xml:space="preserve">11 første ledd </w:t>
      </w:r>
      <w:r w:rsidRPr="00E43B6B">
        <w:t>skal lyde:</w:t>
      </w:r>
    </w:p>
    <w:p w:rsidR="007E19DB" w:rsidRPr="00B15746" w:rsidRDefault="007E19DB" w:rsidP="007E19DB">
      <w:pPr>
        <w:ind w:firstLine="708"/>
      </w:pPr>
    </w:p>
    <w:p w:rsidR="007E19DB" w:rsidRPr="005D62FD" w:rsidRDefault="007E19DB" w:rsidP="007E19DB">
      <w:pPr>
        <w:ind w:firstLine="708"/>
      </w:pPr>
      <w:r w:rsidRPr="001D0D95">
        <w:t xml:space="preserve">MARPOL </w:t>
      </w:r>
      <w:r>
        <w:t>vedlegg V</w:t>
      </w:r>
      <w:r w:rsidRPr="001D0D95">
        <w:t xml:space="preserve"> om hindring av</w:t>
      </w:r>
      <w:r w:rsidRPr="00531221">
        <w:rPr>
          <w:i/>
        </w:rPr>
        <w:t xml:space="preserve"> </w:t>
      </w:r>
      <w:r w:rsidRPr="00FE47EF">
        <w:t>søppel</w:t>
      </w:r>
      <w:r w:rsidRPr="00111603">
        <w:t>forurensning</w:t>
      </w:r>
      <w:r>
        <w:t xml:space="preserve"> jf</w:t>
      </w:r>
      <w:r w:rsidRPr="00FE47EF">
        <w:rPr>
          <w:i/>
        </w:rPr>
        <w:t xml:space="preserve">. MEPC.201(62) som endret ved MEPC.216(63) gjelder </w:t>
      </w:r>
      <w:r w:rsidRPr="00FE47EF">
        <w:t xml:space="preserve">som forskrift. </w:t>
      </w:r>
      <w:r>
        <w:t>Med «skip» menes i MARPOL også flyttbare innretninger.</w:t>
      </w:r>
    </w:p>
    <w:p w:rsidR="007E19DB" w:rsidRDefault="007E19DB" w:rsidP="007E19DB">
      <w:pPr>
        <w:ind w:firstLine="708"/>
        <w:rPr>
          <w:i/>
        </w:rPr>
      </w:pPr>
    </w:p>
    <w:p w:rsidR="007E19DB" w:rsidRDefault="007E19DB" w:rsidP="007E19DB"/>
    <w:p w:rsidR="007E19DB" w:rsidRDefault="007E19DB" w:rsidP="007E19DB"/>
    <w:p w:rsidR="007E19DB" w:rsidRDefault="007E19DB" w:rsidP="007E19DB"/>
    <w:p w:rsidR="007E19DB" w:rsidRDefault="007E19DB" w:rsidP="007E19DB"/>
    <w:p w:rsidR="007E19DB" w:rsidRPr="00E43B6B" w:rsidRDefault="007E19DB" w:rsidP="007E19DB">
      <w:r w:rsidRPr="00E43B6B">
        <w:t xml:space="preserve">§ </w:t>
      </w:r>
      <w:r>
        <w:t xml:space="preserve">12 første ledd </w:t>
      </w:r>
      <w:r w:rsidRPr="00E43B6B">
        <w:t>skal lyde:</w:t>
      </w:r>
    </w:p>
    <w:p w:rsidR="007E19DB" w:rsidRPr="00B15746" w:rsidRDefault="007E19DB" w:rsidP="007E19DB">
      <w:pPr>
        <w:ind w:firstLine="708"/>
      </w:pPr>
    </w:p>
    <w:p w:rsidR="007E19DB" w:rsidRPr="005D62FD" w:rsidRDefault="007E19DB" w:rsidP="007E19DB">
      <w:pPr>
        <w:ind w:firstLine="708"/>
      </w:pPr>
      <w:r w:rsidRPr="00FE47EF">
        <w:t>MARPOL konsolidert utgave 2011 vedlegg VI om hindring av luftforurensning som endret ved</w:t>
      </w:r>
      <w:r>
        <w:rPr>
          <w:i/>
        </w:rPr>
        <w:t xml:space="preserve"> </w:t>
      </w:r>
      <w:r w:rsidRPr="009B7162">
        <w:t>MEPC.202(62), MEPC.203(62)</w:t>
      </w:r>
      <w:r>
        <w:rPr>
          <w:i/>
        </w:rPr>
        <w:t xml:space="preserve"> og MEPC.217(63),</w:t>
      </w:r>
      <w:r w:rsidRPr="00531221">
        <w:rPr>
          <w:i/>
        </w:rPr>
        <w:t xml:space="preserve"> </w:t>
      </w:r>
      <w:r>
        <w:rPr>
          <w:i/>
        </w:rPr>
        <w:t xml:space="preserve">samt </w:t>
      </w:r>
      <w:r w:rsidRPr="00AD0BF9">
        <w:t>NO</w:t>
      </w:r>
      <w:r w:rsidRPr="00AD0BF9">
        <w:rPr>
          <w:vertAlign w:val="subscript"/>
        </w:rPr>
        <w:t>x</w:t>
      </w:r>
      <w:r w:rsidRPr="00AD0BF9">
        <w:t xml:space="preserve"> Technical Code som endret ved </w:t>
      </w:r>
      <w:r w:rsidRPr="009B7162">
        <w:t>MEPC.177(58)</w:t>
      </w:r>
      <w:r>
        <w:rPr>
          <w:i/>
        </w:rPr>
        <w:t xml:space="preserve"> og MEPC.217(63</w:t>
      </w:r>
      <w:r w:rsidRPr="009B7162">
        <w:rPr>
          <w:i/>
        </w:rPr>
        <w:t>), gjelder</w:t>
      </w:r>
      <w:r w:rsidRPr="00AD0BF9">
        <w:t xml:space="preserve"> </w:t>
      </w:r>
      <w:r w:rsidRPr="007C6E48">
        <w:t>som forskrift</w:t>
      </w:r>
      <w:r>
        <w:rPr>
          <w:i/>
        </w:rPr>
        <w:t>.</w:t>
      </w:r>
      <w:r w:rsidRPr="00531221">
        <w:rPr>
          <w:i/>
        </w:rPr>
        <w:t xml:space="preserve"> </w:t>
      </w:r>
    </w:p>
    <w:p w:rsidR="007E19DB" w:rsidRDefault="007E19DB" w:rsidP="007E19DB"/>
    <w:p w:rsidR="007E19DB" w:rsidRDefault="007E19DB" w:rsidP="007E19DB"/>
    <w:p w:rsidR="007E19DB" w:rsidRDefault="007E19DB" w:rsidP="007E19DB"/>
    <w:p w:rsidR="007E19DB" w:rsidRPr="00E43B6B" w:rsidRDefault="007E19DB" w:rsidP="007E19DB">
      <w:r w:rsidRPr="00E43B6B">
        <w:t xml:space="preserve">§ </w:t>
      </w:r>
      <w:r>
        <w:t xml:space="preserve">18 </w:t>
      </w:r>
      <w:r w:rsidRPr="00E43B6B">
        <w:t>skal lyde:</w:t>
      </w:r>
    </w:p>
    <w:p w:rsidR="007E19DB" w:rsidRPr="00B15746" w:rsidRDefault="007E19DB" w:rsidP="007E19DB">
      <w:pPr>
        <w:ind w:firstLine="708"/>
      </w:pPr>
    </w:p>
    <w:p w:rsidR="007E19DB" w:rsidRPr="005D62FD" w:rsidRDefault="007E19DB" w:rsidP="007E19DB">
      <w:pPr>
        <w:ind w:firstLine="708"/>
      </w:pPr>
      <w:r>
        <w:t xml:space="preserve">Skip og flyttbare innretninger med fartsområde «stor kystfart» eller større skal ha relevante sertifikater angitt </w:t>
      </w:r>
      <w:r>
        <w:rPr>
          <w:i/>
        </w:rPr>
        <w:t xml:space="preserve">i §§ 4, </w:t>
      </w:r>
      <w:r w:rsidRPr="002874A1">
        <w:rPr>
          <w:i/>
        </w:rPr>
        <w:t>7</w:t>
      </w:r>
      <w:r>
        <w:rPr>
          <w:i/>
        </w:rPr>
        <w:t>, 9</w:t>
      </w:r>
      <w:r w:rsidRPr="002874A1">
        <w:rPr>
          <w:i/>
        </w:rPr>
        <w:t xml:space="preserve"> og 12.</w:t>
      </w:r>
      <w:r w:rsidRPr="00531221">
        <w:rPr>
          <w:i/>
        </w:rPr>
        <w:t xml:space="preserve"> </w:t>
      </w:r>
    </w:p>
    <w:p w:rsidR="007E19DB" w:rsidRDefault="007E19DB" w:rsidP="007E19DB"/>
    <w:p w:rsidR="007E19DB" w:rsidRDefault="007E19DB" w:rsidP="007E19DB"/>
    <w:p w:rsidR="007E19DB" w:rsidRDefault="007E19DB" w:rsidP="007E19DB"/>
    <w:p w:rsidR="007E19DB" w:rsidRDefault="007E19DB" w:rsidP="007E19DB"/>
    <w:p w:rsidR="007E19DB" w:rsidRDefault="007E19DB" w:rsidP="007E19DB">
      <w:pPr>
        <w:jc w:val="center"/>
        <w:rPr>
          <w:b/>
        </w:rPr>
      </w:pPr>
      <w:r w:rsidRPr="00F9276A">
        <w:rPr>
          <w:b/>
        </w:rPr>
        <w:t>I</w:t>
      </w:r>
      <w:r>
        <w:rPr>
          <w:b/>
        </w:rPr>
        <w:t>I</w:t>
      </w:r>
    </w:p>
    <w:p w:rsidR="007E19DB" w:rsidRPr="00F9276A" w:rsidRDefault="007E19DB" w:rsidP="007E19DB">
      <w:pPr>
        <w:jc w:val="center"/>
        <w:rPr>
          <w:b/>
        </w:rPr>
      </w:pPr>
    </w:p>
    <w:p w:rsidR="007E19DB" w:rsidRPr="00E43B6B" w:rsidRDefault="007E19DB" w:rsidP="007E19DB">
      <w:proofErr w:type="spellStart"/>
      <w:r w:rsidRPr="00B071CE">
        <w:t>Fo</w:t>
      </w:r>
      <w:r>
        <w:t>rskriften</w:t>
      </w:r>
      <w:proofErr w:type="spellEnd"/>
      <w:r>
        <w:t xml:space="preserve"> trer i kraft 1. august 2013</w:t>
      </w:r>
      <w:r w:rsidRPr="00B071CE">
        <w:t>.</w:t>
      </w:r>
    </w:p>
    <w:p w:rsidR="007E19DB" w:rsidRDefault="007E19DB" w:rsidP="007E19DB">
      <w:r>
        <w:br w:type="page"/>
      </w:r>
    </w:p>
    <w:p w:rsidR="007E19DB" w:rsidRPr="00FB541B" w:rsidRDefault="007E19DB" w:rsidP="007E19DB">
      <w:pPr>
        <w:rPr>
          <w:b/>
        </w:rPr>
      </w:pPr>
      <w:r>
        <w:rPr>
          <w:b/>
        </w:rPr>
        <w:lastRenderedPageBreak/>
        <w:t>Forskrift om</w:t>
      </w:r>
      <w:r w:rsidRPr="00FB541B">
        <w:rPr>
          <w:b/>
        </w:rPr>
        <w:t xml:space="preserve"> endring av </w:t>
      </w:r>
      <w:r w:rsidRPr="007C6E48">
        <w:rPr>
          <w:b/>
        </w:rPr>
        <w:t xml:space="preserve">forskrift </w:t>
      </w:r>
      <w:r>
        <w:rPr>
          <w:b/>
        </w:rPr>
        <w:t>15</w:t>
      </w:r>
      <w:r w:rsidRPr="007C6E48">
        <w:rPr>
          <w:b/>
        </w:rPr>
        <w:t xml:space="preserve">. </w:t>
      </w:r>
      <w:r>
        <w:rPr>
          <w:b/>
        </w:rPr>
        <w:t>september</w:t>
      </w:r>
      <w:r w:rsidRPr="007C6E48">
        <w:rPr>
          <w:b/>
        </w:rPr>
        <w:t xml:space="preserve"> </w:t>
      </w:r>
      <w:r>
        <w:rPr>
          <w:b/>
        </w:rPr>
        <w:t>1992</w:t>
      </w:r>
      <w:r w:rsidRPr="007C6E48">
        <w:rPr>
          <w:b/>
        </w:rPr>
        <w:t xml:space="preserve"> nr</w:t>
      </w:r>
      <w:r>
        <w:rPr>
          <w:b/>
        </w:rPr>
        <w:t>.</w:t>
      </w:r>
      <w:r w:rsidRPr="007C6E48">
        <w:rPr>
          <w:b/>
        </w:rPr>
        <w:t xml:space="preserve"> </w:t>
      </w:r>
      <w:r>
        <w:rPr>
          <w:b/>
        </w:rPr>
        <w:t>693</w:t>
      </w:r>
      <w:r w:rsidRPr="00FB541B">
        <w:rPr>
          <w:b/>
        </w:rPr>
        <w:t xml:space="preserve"> om </w:t>
      </w:r>
      <w:r>
        <w:rPr>
          <w:b/>
        </w:rPr>
        <w:t>innretning og føring av dagbøker på skip og flyttbare innretninger</w:t>
      </w:r>
      <w:r w:rsidRPr="00FB541B">
        <w:rPr>
          <w:b/>
        </w:rPr>
        <w:t xml:space="preserve"> </w:t>
      </w:r>
    </w:p>
    <w:p w:rsidR="007E19DB" w:rsidRPr="00FB541B" w:rsidRDefault="007E19DB" w:rsidP="007E19DB">
      <w:pPr>
        <w:rPr>
          <w:b/>
        </w:rPr>
      </w:pPr>
    </w:p>
    <w:p w:rsidR="007E19DB" w:rsidRPr="00E86B8E" w:rsidRDefault="007E19DB" w:rsidP="007E19DB">
      <w:r w:rsidRPr="00FB541B">
        <w:t xml:space="preserve">Fastsatt av </w:t>
      </w:r>
      <w:r>
        <w:t>Sjøfartsdirektoratet</w:t>
      </w:r>
      <w:r w:rsidRPr="00FB541B">
        <w:t xml:space="preserve"> </w:t>
      </w:r>
      <w:r w:rsidRPr="00210DF2">
        <w:t>31.</w:t>
      </w:r>
      <w:r>
        <w:t xml:space="preserve"> juli </w:t>
      </w:r>
      <w:r w:rsidRPr="00210DF2">
        <w:t>2013</w:t>
      </w:r>
      <w:r w:rsidRPr="00FB541B">
        <w:t xml:space="preserve"> med hjemmel i lov </w:t>
      </w:r>
      <w:r>
        <w:t>1</w:t>
      </w:r>
      <w:r w:rsidRPr="00FB541B">
        <w:t xml:space="preserve">6. februar 2007 nr. 9 om skipssikkerhet (skipssikkerhetsloven) §§ </w:t>
      </w:r>
      <w:r>
        <w:t>2, 14</w:t>
      </w:r>
      <w:r w:rsidRPr="00FB541B">
        <w:t xml:space="preserve">, </w:t>
      </w:r>
      <w:r>
        <w:t>19</w:t>
      </w:r>
      <w:r w:rsidRPr="00FB541B">
        <w:t xml:space="preserve">, </w:t>
      </w:r>
      <w:r>
        <w:t>jf. kgl.res. 16. februar 2007 nr. 171 og Nærings- og handelsdepartementets delegeringsvedtak 31. mai 2007 nr. 590, lov 26. juni 1998 nr. 47 om fritids- og småbåter §§ 20, 24, jf. kgl.res. 27. november 1998 nr. 1095, Nærings- og handelsdepartementets delegeringsvedtak 1. desember 1998 nr. 4532 og Nærings- og handelsdepartementets delegeringsvedtak 31. mai 2007 nr. 591.</w:t>
      </w:r>
    </w:p>
    <w:p w:rsidR="007E19DB" w:rsidRPr="00E86B8E" w:rsidRDefault="007E19DB" w:rsidP="007E19DB">
      <w:pPr>
        <w:rPr>
          <w:lang w:val="nn-NO"/>
        </w:rPr>
      </w:pPr>
    </w:p>
    <w:p w:rsidR="007E19DB" w:rsidRPr="00FB541B" w:rsidRDefault="007E19DB" w:rsidP="007E19DB">
      <w:pPr>
        <w:jc w:val="center"/>
        <w:rPr>
          <w:b/>
        </w:rPr>
      </w:pPr>
      <w:r w:rsidRPr="00FB541B">
        <w:rPr>
          <w:b/>
        </w:rPr>
        <w:t>I</w:t>
      </w:r>
    </w:p>
    <w:p w:rsidR="007E19DB" w:rsidRPr="00FB541B" w:rsidRDefault="007E19DB" w:rsidP="007E19DB">
      <w:pPr>
        <w:rPr>
          <w:b/>
        </w:rPr>
      </w:pPr>
    </w:p>
    <w:p w:rsidR="007E19DB" w:rsidRPr="00F826EA" w:rsidRDefault="007E19DB" w:rsidP="007E19DB">
      <w:r w:rsidRPr="00FB541B">
        <w:t xml:space="preserve">I forskrift om </w:t>
      </w:r>
      <w:r>
        <w:t xml:space="preserve">innretning og føring av dagbøker på skip og </w:t>
      </w:r>
      <w:r w:rsidRPr="00531221">
        <w:t>flyttbare innretninger</w:t>
      </w:r>
      <w:r w:rsidRPr="00FB541B">
        <w:t xml:space="preserve"> gjøres følgende endringer:</w:t>
      </w:r>
    </w:p>
    <w:p w:rsidR="007E19DB" w:rsidRDefault="007E19DB" w:rsidP="007E19DB"/>
    <w:p w:rsidR="007E19DB" w:rsidRDefault="007E19DB" w:rsidP="007E19DB"/>
    <w:p w:rsidR="007E19DB" w:rsidRDefault="007E19DB" w:rsidP="007E19DB">
      <w:r>
        <w:t>§ 9 annet ledd skal lyde:</w:t>
      </w:r>
    </w:p>
    <w:p w:rsidR="007E19DB" w:rsidRPr="00840EA1" w:rsidRDefault="007E19DB" w:rsidP="007E19DB">
      <w:pPr>
        <w:ind w:firstLine="708"/>
      </w:pPr>
      <w:r w:rsidRPr="00840EA1">
        <w:rPr>
          <w:color w:val="000000"/>
        </w:rPr>
        <w:t xml:space="preserve">Stor dekksdagbok skal føres av fartøy som skal føre maskindagbok i henhold til </w:t>
      </w:r>
      <w:r w:rsidRPr="00210DF2">
        <w:rPr>
          <w:color w:val="000000"/>
        </w:rPr>
        <w:t>§ 10</w:t>
      </w:r>
      <w:r w:rsidRPr="00210DF2">
        <w:rPr>
          <w:i/>
          <w:color w:val="000000"/>
        </w:rPr>
        <w:t>, med unntak av skip som kan føre liten dekksdagbok</w:t>
      </w:r>
      <w:r w:rsidRPr="00210DF2">
        <w:rPr>
          <w:color w:val="000000"/>
        </w:rPr>
        <w:t>.</w:t>
      </w:r>
      <w:r w:rsidRPr="00840EA1">
        <w:rPr>
          <w:color w:val="000000"/>
        </w:rPr>
        <w:t xml:space="preserve"> Liten dekksdagbok kan føres av maskindrevet skip med bruttotonnasje på 50 og derover i innenriksfart, skip med bruttotonnasje på 300 og derover som går i stor kystfart, og fiske- og fangstfartøy med bruttotonnasje på 50 og derover men under bruttotonnasje på 500, dersom ikke stor dekksdagbok føres.</w:t>
      </w:r>
    </w:p>
    <w:p w:rsidR="007E19DB" w:rsidRDefault="007E19DB" w:rsidP="007E19DB"/>
    <w:p w:rsidR="007E19DB" w:rsidRDefault="007E19DB" w:rsidP="007E19DB">
      <w:r w:rsidRPr="00E43B6B">
        <w:t xml:space="preserve">§ </w:t>
      </w:r>
      <w:r>
        <w:t xml:space="preserve">10 </w:t>
      </w:r>
      <w:r w:rsidRPr="00E43B6B">
        <w:t>skal lyde:</w:t>
      </w:r>
    </w:p>
    <w:p w:rsidR="007E19DB" w:rsidRPr="00E43B6B" w:rsidRDefault="007E19DB" w:rsidP="007E19DB"/>
    <w:p w:rsidR="007E19DB" w:rsidRPr="00952B3F" w:rsidRDefault="007E19DB" w:rsidP="007E19DB">
      <w:pPr>
        <w:ind w:firstLine="708"/>
        <w:rPr>
          <w:i/>
        </w:rPr>
      </w:pPr>
      <w:r w:rsidRPr="00952B3F">
        <w:rPr>
          <w:i/>
        </w:rPr>
        <w:t>§ 10 Maskindagbok</w:t>
      </w:r>
    </w:p>
    <w:p w:rsidR="007E19DB" w:rsidRPr="00952B3F" w:rsidRDefault="007E19DB" w:rsidP="007E19DB">
      <w:pPr>
        <w:ind w:firstLine="708"/>
        <w:rPr>
          <w:i/>
        </w:rPr>
      </w:pPr>
      <w:r w:rsidRPr="00952B3F">
        <w:rPr>
          <w:i/>
        </w:rPr>
        <w:t>Maskindagbok skal føres om bord på</w:t>
      </w:r>
    </w:p>
    <w:p w:rsidR="007E19DB" w:rsidRPr="00952B3F" w:rsidRDefault="007E19DB" w:rsidP="007E19DB">
      <w:pPr>
        <w:numPr>
          <w:ilvl w:val="0"/>
          <w:numId w:val="5"/>
        </w:numPr>
        <w:rPr>
          <w:i/>
        </w:rPr>
      </w:pPr>
      <w:r>
        <w:rPr>
          <w:i/>
        </w:rPr>
        <w:t>maskindrevet skip</w:t>
      </w:r>
      <w:r w:rsidRPr="00952B3F">
        <w:rPr>
          <w:i/>
        </w:rPr>
        <w:t xml:space="preserve"> i utenriksfart</w:t>
      </w:r>
    </w:p>
    <w:p w:rsidR="007E19DB" w:rsidRPr="00952B3F" w:rsidRDefault="007E19DB" w:rsidP="007E19DB">
      <w:pPr>
        <w:numPr>
          <w:ilvl w:val="0"/>
          <w:numId w:val="5"/>
        </w:numPr>
        <w:rPr>
          <w:i/>
        </w:rPr>
      </w:pPr>
      <w:r>
        <w:rPr>
          <w:i/>
        </w:rPr>
        <w:t>m</w:t>
      </w:r>
      <w:r w:rsidRPr="008D017B">
        <w:rPr>
          <w:i/>
        </w:rPr>
        <w:t>askindrevet skip i innenriksfart med maskinist eller maskinpasser i bemanningsoppgaven</w:t>
      </w:r>
      <w:r>
        <w:rPr>
          <w:i/>
        </w:rPr>
        <w:t xml:space="preserve"> </w:t>
      </w:r>
      <w:r w:rsidRPr="00210DF2">
        <w:rPr>
          <w:i/>
        </w:rPr>
        <w:t>og fiske- og fangstfartøy med bruttotonnasje på 500 og derover</w:t>
      </w:r>
    </w:p>
    <w:p w:rsidR="007E19DB" w:rsidRPr="00952B3F" w:rsidRDefault="007E19DB" w:rsidP="007E19DB">
      <w:pPr>
        <w:numPr>
          <w:ilvl w:val="0"/>
          <w:numId w:val="5"/>
        </w:numPr>
        <w:rPr>
          <w:i/>
        </w:rPr>
      </w:pPr>
      <w:r>
        <w:rPr>
          <w:i/>
        </w:rPr>
        <w:t>f</w:t>
      </w:r>
      <w:r w:rsidRPr="00952B3F">
        <w:rPr>
          <w:i/>
        </w:rPr>
        <w:t>lyttbare innretninger</w:t>
      </w:r>
      <w:r>
        <w:rPr>
          <w:i/>
        </w:rPr>
        <w:t>.</w:t>
      </w:r>
    </w:p>
    <w:p w:rsidR="007E19DB" w:rsidRPr="00952B3F" w:rsidRDefault="007E19DB" w:rsidP="007E19DB">
      <w:pPr>
        <w:ind w:firstLine="709"/>
        <w:rPr>
          <w:i/>
        </w:rPr>
      </w:pPr>
      <w:r w:rsidRPr="00952B3F">
        <w:rPr>
          <w:i/>
        </w:rPr>
        <w:t xml:space="preserve">Maskindagboken skal </w:t>
      </w:r>
      <w:r>
        <w:rPr>
          <w:i/>
        </w:rPr>
        <w:t>fortrinnsvis føres av</w:t>
      </w:r>
      <w:r w:rsidRPr="002A0C8D">
        <w:rPr>
          <w:i/>
          <w:iCs/>
          <w:szCs w:val="24"/>
        </w:rPr>
        <w:t xml:space="preserve"> </w:t>
      </w:r>
      <w:r w:rsidRPr="00210DF2">
        <w:rPr>
          <w:i/>
          <w:iCs/>
          <w:szCs w:val="24"/>
        </w:rPr>
        <w:t>vakthavende maskinist</w:t>
      </w:r>
      <w:r>
        <w:rPr>
          <w:i/>
          <w:iCs/>
          <w:szCs w:val="24"/>
        </w:rPr>
        <w:t>.</w:t>
      </w:r>
      <w:r w:rsidRPr="00952B3F">
        <w:rPr>
          <w:i/>
        </w:rPr>
        <w:t xml:space="preserve"> På skip registrert i norsk internasjonalt skipsregister skal maskindagboken føres på engelsk.</w:t>
      </w:r>
    </w:p>
    <w:p w:rsidR="007E19DB" w:rsidRPr="00952B3F" w:rsidRDefault="007E19DB" w:rsidP="007E19DB">
      <w:pPr>
        <w:ind w:firstLine="709"/>
        <w:rPr>
          <w:i/>
        </w:rPr>
      </w:pPr>
      <w:r w:rsidRPr="00952B3F">
        <w:rPr>
          <w:i/>
        </w:rPr>
        <w:t>Maskindagboken føres i havn for hvert døgn, i sjøen for hver vakt. Det som skjer på den enkelte vakt kan foreløpig nedtegnes i en kladdebok, men skal innføres snarest mulig og senest innen utløpet av påfølgende døgn.</w:t>
      </w:r>
    </w:p>
    <w:p w:rsidR="007E19DB" w:rsidRPr="00952B3F" w:rsidRDefault="007E19DB" w:rsidP="007E19DB">
      <w:pPr>
        <w:ind w:firstLine="709"/>
        <w:rPr>
          <w:i/>
        </w:rPr>
      </w:pPr>
      <w:r w:rsidRPr="00210DF2">
        <w:rPr>
          <w:i/>
          <w:iCs/>
          <w:color w:val="000000"/>
          <w:szCs w:val="24"/>
        </w:rPr>
        <w:t>Dagbokfører attesterer ved sin underskrift at vakten er innført. Maskinsjefen skal undertegne maskindagboken når døgnet er innført</w:t>
      </w:r>
      <w:r w:rsidRPr="00210DF2">
        <w:rPr>
          <w:i/>
        </w:rPr>
        <w:t>.</w:t>
      </w:r>
      <w:r w:rsidRPr="00952B3F">
        <w:rPr>
          <w:i/>
        </w:rPr>
        <w:t xml:space="preserve"> Minst en gang hver uke skal skipets fører gjøre påtegning om at han har ettersett maskindagboken og anføre datoen for slikt ettersyn. </w:t>
      </w:r>
    </w:p>
    <w:p w:rsidR="007E19DB" w:rsidRPr="005D62FD" w:rsidRDefault="007E19DB" w:rsidP="007E19DB">
      <w:pPr>
        <w:ind w:firstLine="708"/>
      </w:pPr>
    </w:p>
    <w:p w:rsidR="007E19DB" w:rsidRDefault="007E19DB" w:rsidP="007E19DB"/>
    <w:p w:rsidR="007E19DB" w:rsidRDefault="007E19DB" w:rsidP="007E19DB">
      <w:pPr>
        <w:jc w:val="center"/>
        <w:rPr>
          <w:b/>
        </w:rPr>
      </w:pPr>
      <w:r w:rsidRPr="00F9276A">
        <w:rPr>
          <w:b/>
        </w:rPr>
        <w:t>I</w:t>
      </w:r>
      <w:r>
        <w:rPr>
          <w:b/>
        </w:rPr>
        <w:t>I</w:t>
      </w:r>
    </w:p>
    <w:p w:rsidR="007E19DB" w:rsidRPr="00F9276A" w:rsidRDefault="007E19DB" w:rsidP="007E19DB">
      <w:pPr>
        <w:jc w:val="center"/>
        <w:rPr>
          <w:b/>
        </w:rPr>
      </w:pPr>
    </w:p>
    <w:p w:rsidR="007E19DB" w:rsidRPr="00E43B6B" w:rsidRDefault="007E19DB" w:rsidP="007E19DB">
      <w:proofErr w:type="spellStart"/>
      <w:r w:rsidRPr="00B071CE">
        <w:t>Fo</w:t>
      </w:r>
      <w:r>
        <w:t>rskriften</w:t>
      </w:r>
      <w:proofErr w:type="spellEnd"/>
      <w:r>
        <w:t xml:space="preserve"> trer i kraft 1. august 2013</w:t>
      </w:r>
      <w:r w:rsidRPr="00B071CE">
        <w:t>.</w:t>
      </w:r>
    </w:p>
    <w:p w:rsidR="007E19DB" w:rsidRDefault="007E19DB" w:rsidP="007E19DB">
      <w:r>
        <w:br w:type="page"/>
      </w:r>
    </w:p>
    <w:p w:rsidR="007E19DB" w:rsidRPr="003501ED" w:rsidRDefault="007E19DB" w:rsidP="007E19DB">
      <w:pPr>
        <w:pStyle w:val="Overskrift1"/>
        <w:rPr>
          <w:sz w:val="22"/>
          <w:szCs w:val="22"/>
        </w:rPr>
      </w:pPr>
      <w:r w:rsidRPr="003501ED">
        <w:rPr>
          <w:sz w:val="22"/>
          <w:szCs w:val="22"/>
        </w:rPr>
        <w:lastRenderedPageBreak/>
        <w:t xml:space="preserve">Høring: Endringer i miljøsikkerhetsforskriften og </w:t>
      </w:r>
      <w:proofErr w:type="spellStart"/>
      <w:r w:rsidRPr="003501ED">
        <w:rPr>
          <w:sz w:val="22"/>
          <w:szCs w:val="22"/>
        </w:rPr>
        <w:t>dagbokforskriften</w:t>
      </w:r>
      <w:proofErr w:type="spellEnd"/>
    </w:p>
    <w:p w:rsidR="007E19DB" w:rsidRPr="003501ED" w:rsidRDefault="007E19DB" w:rsidP="007E19DB"/>
    <w:p w:rsidR="007E19DB" w:rsidRPr="003501ED" w:rsidRDefault="007E19DB" w:rsidP="007E19DB">
      <w:r w:rsidRPr="003501ED">
        <w:t>Høring ble gjennomført fra 3. mai til 1. juli 2013.</w:t>
      </w:r>
    </w:p>
    <w:p w:rsidR="007E19DB" w:rsidRPr="003501ED" w:rsidRDefault="007E19DB" w:rsidP="007E19DB">
      <w:pPr>
        <w:spacing w:line="384" w:lineRule="atLeast"/>
        <w:rPr>
          <w:rFonts w:cs="Arial"/>
          <w:color w:val="333333"/>
        </w:rPr>
      </w:pPr>
      <w:r w:rsidRPr="003501ED">
        <w:rPr>
          <w:rFonts w:cs="Arial"/>
          <w:color w:val="333333"/>
        </w:rPr>
        <w:t>Det er mottatt 22 høringsuttalelser, av disse var det 17 som ikke hadde merknader.</w:t>
      </w:r>
    </w:p>
    <w:p w:rsidR="007E19DB" w:rsidRPr="003501ED" w:rsidRDefault="007E19DB" w:rsidP="007E19DB">
      <w:pPr>
        <w:spacing w:line="384" w:lineRule="atLeast"/>
        <w:rPr>
          <w:rFonts w:cs="Arial"/>
          <w:color w:val="333333"/>
        </w:rPr>
      </w:pPr>
    </w:p>
    <w:tbl>
      <w:tblPr>
        <w:tblStyle w:val="Lystrutenett-uthevingsfarge1"/>
        <w:tblW w:w="0" w:type="auto"/>
        <w:tblLayout w:type="fixed"/>
        <w:tblLook w:val="04A0" w:firstRow="1" w:lastRow="0" w:firstColumn="1" w:lastColumn="0" w:noHBand="0" w:noVBand="1"/>
      </w:tblPr>
      <w:tblGrid>
        <w:gridCol w:w="1668"/>
        <w:gridCol w:w="1701"/>
        <w:gridCol w:w="2976"/>
        <w:gridCol w:w="2943"/>
      </w:tblGrid>
      <w:tr w:rsidR="007E19DB" w:rsidRPr="003501ED" w:rsidTr="004B0D9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7E19DB" w:rsidRPr="003501ED" w:rsidRDefault="007E19DB" w:rsidP="004B0D9F">
            <w:pPr>
              <w:rPr>
                <w:b w:val="0"/>
              </w:rPr>
            </w:pPr>
            <w:r w:rsidRPr="003501ED">
              <w:t>Forskrifts-bestemmelse</w:t>
            </w:r>
          </w:p>
        </w:tc>
        <w:tc>
          <w:tcPr>
            <w:tcW w:w="1701" w:type="dxa"/>
          </w:tcPr>
          <w:p w:rsidR="007E19DB" w:rsidRPr="003501ED" w:rsidRDefault="007E19DB" w:rsidP="004B0D9F">
            <w:pPr>
              <w:cnfStyle w:val="100000000000" w:firstRow="1" w:lastRow="0" w:firstColumn="0" w:lastColumn="0" w:oddVBand="0" w:evenVBand="0" w:oddHBand="0" w:evenHBand="0" w:firstRowFirstColumn="0" w:firstRowLastColumn="0" w:lastRowFirstColumn="0" w:lastRowLastColumn="0"/>
              <w:rPr>
                <w:b w:val="0"/>
              </w:rPr>
            </w:pPr>
            <w:r w:rsidRPr="003501ED">
              <w:t>Hørings-instans</w:t>
            </w:r>
          </w:p>
        </w:tc>
        <w:tc>
          <w:tcPr>
            <w:tcW w:w="2976" w:type="dxa"/>
          </w:tcPr>
          <w:p w:rsidR="007E19DB" w:rsidRPr="003501ED" w:rsidRDefault="007E19DB" w:rsidP="004B0D9F">
            <w:pPr>
              <w:cnfStyle w:val="100000000000" w:firstRow="1" w:lastRow="0" w:firstColumn="0" w:lastColumn="0" w:oddVBand="0" w:evenVBand="0" w:oddHBand="0" w:evenHBand="0" w:firstRowFirstColumn="0" w:firstRowLastColumn="0" w:lastRowFirstColumn="0" w:lastRowLastColumn="0"/>
              <w:rPr>
                <w:b w:val="0"/>
              </w:rPr>
            </w:pPr>
            <w:r w:rsidRPr="003501ED">
              <w:t>Merknader</w:t>
            </w:r>
          </w:p>
        </w:tc>
        <w:tc>
          <w:tcPr>
            <w:tcW w:w="2943" w:type="dxa"/>
          </w:tcPr>
          <w:p w:rsidR="007E19DB" w:rsidRPr="003501ED" w:rsidRDefault="007E19DB" w:rsidP="004B0D9F">
            <w:pPr>
              <w:cnfStyle w:val="100000000000" w:firstRow="1" w:lastRow="0" w:firstColumn="0" w:lastColumn="0" w:oddVBand="0" w:evenVBand="0" w:oddHBand="0" w:evenHBand="0" w:firstRowFirstColumn="0" w:firstRowLastColumn="0" w:lastRowFirstColumn="0" w:lastRowLastColumn="0"/>
              <w:rPr>
                <w:b w:val="0"/>
              </w:rPr>
            </w:pPr>
            <w:r w:rsidRPr="003501ED">
              <w:t>Direktoratets kommentarer</w:t>
            </w:r>
          </w:p>
        </w:tc>
      </w:tr>
      <w:tr w:rsidR="007E19DB" w:rsidRPr="003501ED" w:rsidTr="004B0D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7E19DB" w:rsidRPr="003501ED" w:rsidRDefault="007E19DB" w:rsidP="004B0D9F">
            <w:r>
              <w:t>G</w:t>
            </w:r>
            <w:r w:rsidRPr="003501ED">
              <w:t>enerelt</w:t>
            </w:r>
          </w:p>
        </w:tc>
        <w:tc>
          <w:tcPr>
            <w:tcW w:w="1701" w:type="dxa"/>
          </w:tcPr>
          <w:p w:rsidR="007E19DB" w:rsidRPr="003501ED" w:rsidRDefault="007E19DB" w:rsidP="004B0D9F">
            <w:pPr>
              <w:cnfStyle w:val="000000100000" w:firstRow="0" w:lastRow="0" w:firstColumn="0" w:lastColumn="0" w:oddVBand="0" w:evenVBand="0" w:oddHBand="1" w:evenHBand="0" w:firstRowFirstColumn="0" w:firstRowLastColumn="0" w:lastRowFirstColumn="0" w:lastRowLastColumn="0"/>
            </w:pPr>
            <w:r w:rsidRPr="003501ED">
              <w:t>Statens vegvesen</w:t>
            </w:r>
          </w:p>
        </w:tc>
        <w:tc>
          <w:tcPr>
            <w:tcW w:w="2976" w:type="dxa"/>
          </w:tcPr>
          <w:p w:rsidR="007E19DB" w:rsidRPr="003501ED" w:rsidRDefault="007E19DB" w:rsidP="004B0D9F">
            <w:pPr>
              <w:cnfStyle w:val="000000100000" w:firstRow="0" w:lastRow="0" w:firstColumn="0" w:lastColumn="0" w:oddVBand="0" w:evenVBand="0" w:oddHBand="1" w:evenHBand="0" w:firstRowFirstColumn="0" w:firstRowLastColumn="0" w:lastRowFirstColumn="0" w:lastRowLastColumn="0"/>
            </w:pPr>
            <w:r w:rsidRPr="003501ED">
              <w:t>Vi ønsker for øvrig å benytte anledningen til å minne om anbudsordningen i riksvegferjedriften. Nye myndighetskrav i kontraktsperioden utløser kompensasjonskrav. Av budsjettmessige grunner er det derfor ønskelig at det opprettes overgangsordninger slik at nye myndighetskrav som fører til kostnader for rederiene kan innføres ved utlysning av nye riksvegferjekontrakter.</w:t>
            </w:r>
          </w:p>
          <w:p w:rsidR="007E19DB" w:rsidRPr="003501ED" w:rsidRDefault="007E19DB" w:rsidP="004B0D9F">
            <w:pPr>
              <w:cnfStyle w:val="000000100000" w:firstRow="0" w:lastRow="0" w:firstColumn="0" w:lastColumn="0" w:oddVBand="0" w:evenVBand="0" w:oddHBand="1" w:evenHBand="0" w:firstRowFirstColumn="0" w:firstRowLastColumn="0" w:lastRowFirstColumn="0" w:lastRowLastColumn="0"/>
              <w:rPr>
                <w:b/>
              </w:rPr>
            </w:pPr>
          </w:p>
        </w:tc>
        <w:tc>
          <w:tcPr>
            <w:tcW w:w="2943" w:type="dxa"/>
          </w:tcPr>
          <w:p w:rsidR="007E19DB" w:rsidRPr="003501ED" w:rsidRDefault="007E19DB" w:rsidP="004B0D9F">
            <w:pPr>
              <w:cnfStyle w:val="000000100000" w:firstRow="0" w:lastRow="0" w:firstColumn="0" w:lastColumn="0" w:oddVBand="0" w:evenVBand="0" w:oddHBand="1" w:evenHBand="0" w:firstRowFirstColumn="0" w:firstRowLastColumn="0" w:lastRowFirstColumn="0" w:lastRowLastColumn="0"/>
            </w:pPr>
            <w:r w:rsidRPr="003501ED">
              <w:t>Dette er en generell påminnelse fra Statens vegvesen, og de har ikke påpekt konkrete områder der det er behov for overgangsordninger. Vi kan ikke se at det er behov for slike overgangsordninger i dette tilfellet.</w:t>
            </w:r>
          </w:p>
        </w:tc>
      </w:tr>
      <w:tr w:rsidR="007E19DB" w:rsidRPr="003501ED" w:rsidTr="004B0D9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7E19DB" w:rsidRPr="003501ED" w:rsidRDefault="007E19DB" w:rsidP="004B0D9F">
            <w:r w:rsidRPr="003501ED">
              <w:t>Dagbok-</w:t>
            </w:r>
            <w:proofErr w:type="spellStart"/>
            <w:r w:rsidRPr="003501ED">
              <w:t>forskriften</w:t>
            </w:r>
            <w:proofErr w:type="spellEnd"/>
          </w:p>
        </w:tc>
        <w:tc>
          <w:tcPr>
            <w:tcW w:w="1701" w:type="dxa"/>
          </w:tcPr>
          <w:p w:rsidR="007E19DB" w:rsidRPr="003501ED" w:rsidRDefault="007E19DB" w:rsidP="004B0D9F">
            <w:pPr>
              <w:cnfStyle w:val="000000010000" w:firstRow="0" w:lastRow="0" w:firstColumn="0" w:lastColumn="0" w:oddVBand="0" w:evenVBand="0" w:oddHBand="0" w:evenHBand="1" w:firstRowFirstColumn="0" w:firstRowLastColumn="0" w:lastRowFirstColumn="0" w:lastRowLastColumn="0"/>
            </w:pPr>
            <w:r w:rsidRPr="003501ED">
              <w:t>NHO Sjøfart</w:t>
            </w:r>
          </w:p>
        </w:tc>
        <w:tc>
          <w:tcPr>
            <w:tcW w:w="2976" w:type="dxa"/>
          </w:tcPr>
          <w:p w:rsidR="007E19DB" w:rsidRPr="003501ED" w:rsidRDefault="007E19DB" w:rsidP="004B0D9F">
            <w:pPr>
              <w:autoSpaceDE w:val="0"/>
              <w:autoSpaceDN w:val="0"/>
              <w:adjustRightInd w:val="0"/>
              <w:cnfStyle w:val="000000010000" w:firstRow="0" w:lastRow="0" w:firstColumn="0" w:lastColumn="0" w:oddVBand="0" w:evenVBand="0" w:oddHBand="0" w:evenHBand="1" w:firstRowFirstColumn="0" w:firstRowLastColumn="0" w:lastRowFirstColumn="0" w:lastRowLastColumn="0"/>
              <w:rPr>
                <w:color w:val="000000"/>
              </w:rPr>
            </w:pPr>
            <w:r w:rsidRPr="003501ED">
              <w:rPr>
                <w:color w:val="000000"/>
              </w:rPr>
              <w:t xml:space="preserve">Ingen merknader til endringene i </w:t>
            </w:r>
            <w:proofErr w:type="spellStart"/>
            <w:r w:rsidRPr="003501ED">
              <w:rPr>
                <w:color w:val="000000"/>
              </w:rPr>
              <w:t>miljøsikker-hetsforskriften</w:t>
            </w:r>
            <w:proofErr w:type="spellEnd"/>
            <w:r w:rsidRPr="003501ED">
              <w:rPr>
                <w:color w:val="000000"/>
              </w:rPr>
              <w:t xml:space="preserve">. Endringen som foreslås i </w:t>
            </w:r>
            <w:proofErr w:type="spellStart"/>
            <w:r w:rsidRPr="003501ED">
              <w:rPr>
                <w:color w:val="000000"/>
              </w:rPr>
              <w:t>dagbokforskriften</w:t>
            </w:r>
            <w:proofErr w:type="spellEnd"/>
            <w:r w:rsidRPr="003501ED">
              <w:rPr>
                <w:color w:val="000000"/>
              </w:rPr>
              <w:t xml:space="preserve"> innebærer at maskindagbok skal føres på skip i innenriks fart med maskinist eller maskinpasser i bemanningsoppgaven. Vi har ingen kommentarer til selve endringen. </w:t>
            </w:r>
          </w:p>
          <w:p w:rsidR="007E19DB" w:rsidRPr="003501ED" w:rsidRDefault="007E19DB" w:rsidP="004B0D9F">
            <w:pPr>
              <w:autoSpaceDE w:val="0"/>
              <w:autoSpaceDN w:val="0"/>
              <w:adjustRightInd w:val="0"/>
              <w:cnfStyle w:val="000000010000" w:firstRow="0" w:lastRow="0" w:firstColumn="0" w:lastColumn="0" w:oddVBand="0" w:evenVBand="0" w:oddHBand="0" w:evenHBand="1" w:firstRowFirstColumn="0" w:firstRowLastColumn="0" w:lastRowFirstColumn="0" w:lastRowLastColumn="0"/>
              <w:rPr>
                <w:color w:val="000000"/>
              </w:rPr>
            </w:pPr>
          </w:p>
          <w:p w:rsidR="007E19DB" w:rsidRPr="003501ED" w:rsidRDefault="007E19DB" w:rsidP="004B0D9F">
            <w:pPr>
              <w:cnfStyle w:val="000000010000" w:firstRow="0" w:lastRow="0" w:firstColumn="0" w:lastColumn="0" w:oddVBand="0" w:evenVBand="0" w:oddHBand="0" w:evenHBand="1" w:firstRowFirstColumn="0" w:firstRowLastColumn="0" w:lastRowFirstColumn="0" w:lastRowLastColumn="0"/>
              <w:rPr>
                <w:b/>
              </w:rPr>
            </w:pPr>
            <w:r w:rsidRPr="003501ED">
              <w:rPr>
                <w:color w:val="000000"/>
              </w:rPr>
              <w:t>Vi ønsker imidlertid å påpeke at maskindagboken har behov for revidering, slik at dens utforming og innhold er i tråd med dagens virkelighet. Vi ber Sjøfartsdirektoratet initiere en slik revisjon.</w:t>
            </w:r>
          </w:p>
        </w:tc>
        <w:tc>
          <w:tcPr>
            <w:tcW w:w="2943" w:type="dxa"/>
          </w:tcPr>
          <w:p w:rsidR="007E19DB" w:rsidRPr="003501ED" w:rsidRDefault="007E19DB" w:rsidP="004B0D9F">
            <w:pPr>
              <w:cnfStyle w:val="000000010000" w:firstRow="0" w:lastRow="0" w:firstColumn="0" w:lastColumn="0" w:oddVBand="0" w:evenVBand="0" w:oddHBand="0" w:evenHBand="1" w:firstRowFirstColumn="0" w:firstRowLastColumn="0" w:lastRowFirstColumn="0" w:lastRowLastColumn="0"/>
            </w:pPr>
          </w:p>
          <w:p w:rsidR="007E19DB" w:rsidRPr="003501ED" w:rsidRDefault="007E19DB" w:rsidP="004B0D9F">
            <w:pPr>
              <w:cnfStyle w:val="000000010000" w:firstRow="0" w:lastRow="0" w:firstColumn="0" w:lastColumn="0" w:oddVBand="0" w:evenVBand="0" w:oddHBand="0" w:evenHBand="1" w:firstRowFirstColumn="0" w:firstRowLastColumn="0" w:lastRowFirstColumn="0" w:lastRowLastColumn="0"/>
            </w:pPr>
          </w:p>
          <w:p w:rsidR="007E19DB" w:rsidRPr="003501ED" w:rsidRDefault="007E19DB" w:rsidP="004B0D9F">
            <w:pPr>
              <w:cnfStyle w:val="000000010000" w:firstRow="0" w:lastRow="0" w:firstColumn="0" w:lastColumn="0" w:oddVBand="0" w:evenVBand="0" w:oddHBand="0" w:evenHBand="1" w:firstRowFirstColumn="0" w:firstRowLastColumn="0" w:lastRowFirstColumn="0" w:lastRowLastColumn="0"/>
            </w:pPr>
          </w:p>
          <w:p w:rsidR="007E19DB" w:rsidRPr="003501ED" w:rsidRDefault="007E19DB" w:rsidP="004B0D9F">
            <w:pPr>
              <w:cnfStyle w:val="000000010000" w:firstRow="0" w:lastRow="0" w:firstColumn="0" w:lastColumn="0" w:oddVBand="0" w:evenVBand="0" w:oddHBand="0" w:evenHBand="1" w:firstRowFirstColumn="0" w:firstRowLastColumn="0" w:lastRowFirstColumn="0" w:lastRowLastColumn="0"/>
            </w:pPr>
          </w:p>
          <w:p w:rsidR="007E19DB" w:rsidRPr="003501ED" w:rsidRDefault="007E19DB" w:rsidP="004B0D9F">
            <w:pPr>
              <w:cnfStyle w:val="000000010000" w:firstRow="0" w:lastRow="0" w:firstColumn="0" w:lastColumn="0" w:oddVBand="0" w:evenVBand="0" w:oddHBand="0" w:evenHBand="1" w:firstRowFirstColumn="0" w:firstRowLastColumn="0" w:lastRowFirstColumn="0" w:lastRowLastColumn="0"/>
            </w:pPr>
          </w:p>
          <w:p w:rsidR="007E19DB" w:rsidRPr="003501ED" w:rsidRDefault="007E19DB" w:rsidP="004B0D9F">
            <w:pPr>
              <w:cnfStyle w:val="000000010000" w:firstRow="0" w:lastRow="0" w:firstColumn="0" w:lastColumn="0" w:oddVBand="0" w:evenVBand="0" w:oddHBand="0" w:evenHBand="1" w:firstRowFirstColumn="0" w:firstRowLastColumn="0" w:lastRowFirstColumn="0" w:lastRowLastColumn="0"/>
            </w:pPr>
          </w:p>
          <w:p w:rsidR="007E19DB" w:rsidRPr="003501ED" w:rsidRDefault="007E19DB" w:rsidP="004B0D9F">
            <w:pPr>
              <w:cnfStyle w:val="000000010000" w:firstRow="0" w:lastRow="0" w:firstColumn="0" w:lastColumn="0" w:oddVBand="0" w:evenVBand="0" w:oddHBand="0" w:evenHBand="1" w:firstRowFirstColumn="0" w:firstRowLastColumn="0" w:lastRowFirstColumn="0" w:lastRowLastColumn="0"/>
            </w:pPr>
          </w:p>
          <w:p w:rsidR="007E19DB" w:rsidRPr="003501ED" w:rsidRDefault="007E19DB" w:rsidP="004B0D9F">
            <w:pPr>
              <w:cnfStyle w:val="000000010000" w:firstRow="0" w:lastRow="0" w:firstColumn="0" w:lastColumn="0" w:oddVBand="0" w:evenVBand="0" w:oddHBand="0" w:evenHBand="1" w:firstRowFirstColumn="0" w:firstRowLastColumn="0" w:lastRowFirstColumn="0" w:lastRowLastColumn="0"/>
            </w:pPr>
          </w:p>
          <w:p w:rsidR="007E19DB" w:rsidRPr="003501ED" w:rsidRDefault="007E19DB" w:rsidP="004B0D9F">
            <w:pPr>
              <w:cnfStyle w:val="000000010000" w:firstRow="0" w:lastRow="0" w:firstColumn="0" w:lastColumn="0" w:oddVBand="0" w:evenVBand="0" w:oddHBand="0" w:evenHBand="1" w:firstRowFirstColumn="0" w:firstRowLastColumn="0" w:lastRowFirstColumn="0" w:lastRowLastColumn="0"/>
            </w:pPr>
          </w:p>
          <w:p w:rsidR="007E19DB" w:rsidRPr="003501ED" w:rsidRDefault="007E19DB" w:rsidP="004B0D9F">
            <w:pPr>
              <w:cnfStyle w:val="000000010000" w:firstRow="0" w:lastRow="0" w:firstColumn="0" w:lastColumn="0" w:oddVBand="0" w:evenVBand="0" w:oddHBand="0" w:evenHBand="1" w:firstRowFirstColumn="0" w:firstRowLastColumn="0" w:lastRowFirstColumn="0" w:lastRowLastColumn="0"/>
            </w:pPr>
          </w:p>
          <w:p w:rsidR="007E19DB" w:rsidRPr="003501ED" w:rsidRDefault="007E19DB" w:rsidP="004B0D9F">
            <w:pPr>
              <w:cnfStyle w:val="000000010000" w:firstRow="0" w:lastRow="0" w:firstColumn="0" w:lastColumn="0" w:oddVBand="0" w:evenVBand="0" w:oddHBand="0" w:evenHBand="1" w:firstRowFirstColumn="0" w:firstRowLastColumn="0" w:lastRowFirstColumn="0" w:lastRowLastColumn="0"/>
            </w:pPr>
          </w:p>
          <w:p w:rsidR="007E19DB" w:rsidRPr="003501ED" w:rsidRDefault="007E19DB" w:rsidP="004B0D9F">
            <w:pPr>
              <w:cnfStyle w:val="000000010000" w:firstRow="0" w:lastRow="0" w:firstColumn="0" w:lastColumn="0" w:oddVBand="0" w:evenVBand="0" w:oddHBand="0" w:evenHBand="1" w:firstRowFirstColumn="0" w:firstRowLastColumn="0" w:lastRowFirstColumn="0" w:lastRowLastColumn="0"/>
            </w:pPr>
          </w:p>
          <w:p w:rsidR="007E19DB" w:rsidRPr="003501ED" w:rsidRDefault="007E19DB" w:rsidP="004B0D9F">
            <w:pPr>
              <w:cnfStyle w:val="000000010000" w:firstRow="0" w:lastRow="0" w:firstColumn="0" w:lastColumn="0" w:oddVBand="0" w:evenVBand="0" w:oddHBand="0" w:evenHBand="1" w:firstRowFirstColumn="0" w:firstRowLastColumn="0" w:lastRowFirstColumn="0" w:lastRowLastColumn="0"/>
            </w:pPr>
            <w:r>
              <w:t>Sjøfartsdirektoratet vil vurdere behovet for en revidering av maskindagbok.</w:t>
            </w:r>
          </w:p>
        </w:tc>
      </w:tr>
      <w:tr w:rsidR="007E19DB" w:rsidRPr="003501ED" w:rsidTr="004B0D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7E19DB" w:rsidRPr="003501ED" w:rsidRDefault="007E19DB" w:rsidP="004B0D9F">
            <w:r>
              <w:t>Miljø-sikkerhets-</w:t>
            </w:r>
            <w:proofErr w:type="spellStart"/>
            <w:r>
              <w:t>forskriften</w:t>
            </w:r>
            <w:proofErr w:type="spellEnd"/>
            <w:r>
              <w:t xml:space="preserve"> § </w:t>
            </w:r>
            <w:r w:rsidRPr="003501ED">
              <w:t>7 fjerde ledd bokstav a</w:t>
            </w:r>
          </w:p>
        </w:tc>
        <w:tc>
          <w:tcPr>
            <w:tcW w:w="1701" w:type="dxa"/>
          </w:tcPr>
          <w:p w:rsidR="007E19DB" w:rsidRPr="003501ED" w:rsidRDefault="007E19DB" w:rsidP="004B0D9F">
            <w:pPr>
              <w:cnfStyle w:val="000000100000" w:firstRow="0" w:lastRow="0" w:firstColumn="0" w:lastColumn="0" w:oddVBand="0" w:evenVBand="0" w:oddHBand="1" w:evenHBand="0" w:firstRowFirstColumn="0" w:firstRowLastColumn="0" w:lastRowFirstColumn="0" w:lastRowLastColumn="0"/>
            </w:pPr>
            <w:r w:rsidRPr="003501ED">
              <w:t>Lands</w:t>
            </w:r>
            <w:r>
              <w:t>-</w:t>
            </w:r>
            <w:r w:rsidRPr="003501ED">
              <w:t>organisasjonen i Norge</w:t>
            </w:r>
          </w:p>
        </w:tc>
        <w:tc>
          <w:tcPr>
            <w:tcW w:w="2976" w:type="dxa"/>
          </w:tcPr>
          <w:p w:rsidR="007E19DB" w:rsidRPr="003501ED" w:rsidRDefault="007E19DB" w:rsidP="004B0D9F">
            <w:pPr>
              <w:autoSpaceDE w:val="0"/>
              <w:autoSpaceDN w:val="0"/>
              <w:adjustRightInd w:val="0"/>
              <w:cnfStyle w:val="000000100000" w:firstRow="0" w:lastRow="0" w:firstColumn="0" w:lastColumn="0" w:oddVBand="0" w:evenVBand="0" w:oddHBand="1" w:evenHBand="0" w:firstRowFirstColumn="0" w:firstRowLastColumn="0" w:lastRowFirstColumn="0" w:lastRowLastColumn="0"/>
              <w:rPr>
                <w:color w:val="000000"/>
              </w:rPr>
            </w:pPr>
            <w:r w:rsidRPr="003501ED">
              <w:rPr>
                <w:color w:val="000000"/>
              </w:rPr>
              <w:t xml:space="preserve">Når det gjelder forslag til ny dispensasjonsbestemmelse med nytt fjerde ledd i miljøsikkerhetsforskriftens § 7, er LO enig med Sjøfartsdirektoratet når det presiseres i høringsnotatet at en slik dispensasjons-bestemmelse ikke må gå på akkord med sikkerhet og </w:t>
            </w:r>
            <w:r w:rsidRPr="003501ED">
              <w:rPr>
                <w:color w:val="000000"/>
              </w:rPr>
              <w:lastRenderedPageBreak/>
              <w:t>miljø. Dette bør imidlertid etter LOs syn framkomme klarere i forskriftsteksten. Vi foreslår derfor å ta inn ordene ”</w:t>
            </w:r>
            <w:r w:rsidRPr="003501ED">
              <w:rPr>
                <w:i/>
                <w:iCs/>
                <w:color w:val="000000"/>
              </w:rPr>
              <w:t>og miljømessig</w:t>
            </w:r>
            <w:r w:rsidRPr="003501ED">
              <w:rPr>
                <w:color w:val="000000"/>
              </w:rPr>
              <w:t xml:space="preserve">” </w:t>
            </w:r>
            <w:r>
              <w:rPr>
                <w:color w:val="000000"/>
              </w:rPr>
              <w:t>i § 7 fjerde ledd</w:t>
            </w:r>
            <w:r w:rsidRPr="003501ED">
              <w:rPr>
                <w:color w:val="000000"/>
              </w:rPr>
              <w:t xml:space="preserve"> punkt a), slik at teksten blir: </w:t>
            </w:r>
          </w:p>
          <w:p w:rsidR="007E19DB" w:rsidRPr="003501ED" w:rsidRDefault="007E19DB" w:rsidP="004B0D9F">
            <w:pPr>
              <w:autoSpaceDE w:val="0"/>
              <w:autoSpaceDN w:val="0"/>
              <w:adjustRightInd w:val="0"/>
              <w:cnfStyle w:val="000000100000" w:firstRow="0" w:lastRow="0" w:firstColumn="0" w:lastColumn="0" w:oddVBand="0" w:evenVBand="0" w:oddHBand="1" w:evenHBand="0" w:firstRowFirstColumn="0" w:firstRowLastColumn="0" w:lastRowFirstColumn="0" w:lastRowLastColumn="0"/>
              <w:rPr>
                <w:color w:val="000000"/>
              </w:rPr>
            </w:pPr>
            <w:r w:rsidRPr="003501ED">
              <w:rPr>
                <w:color w:val="000000"/>
              </w:rPr>
              <w:t>”</w:t>
            </w:r>
            <w:r w:rsidRPr="003501ED">
              <w:rPr>
                <w:i/>
                <w:iCs/>
                <w:color w:val="000000"/>
              </w:rPr>
              <w:t xml:space="preserve">a) det godtgjøres at kravet ikke er relevant, og at det anses sikkerhetsmessig </w:t>
            </w:r>
            <w:r w:rsidRPr="003501ED">
              <w:rPr>
                <w:b/>
                <w:bCs/>
                <w:i/>
                <w:iCs/>
                <w:color w:val="000000"/>
              </w:rPr>
              <w:t xml:space="preserve">og miljømessig </w:t>
            </w:r>
            <w:r w:rsidRPr="003501ED">
              <w:rPr>
                <w:i/>
                <w:iCs/>
                <w:color w:val="000000"/>
              </w:rPr>
              <w:t>forsvarlig”</w:t>
            </w:r>
          </w:p>
        </w:tc>
        <w:tc>
          <w:tcPr>
            <w:tcW w:w="2943" w:type="dxa"/>
          </w:tcPr>
          <w:p w:rsidR="007E19DB" w:rsidRDefault="007E19DB" w:rsidP="004B0D9F">
            <w:pPr>
              <w:cnfStyle w:val="000000100000" w:firstRow="0" w:lastRow="0" w:firstColumn="0" w:lastColumn="0" w:oddVBand="0" w:evenVBand="0" w:oddHBand="1" w:evenHBand="0" w:firstRowFirstColumn="0" w:firstRowLastColumn="0" w:lastRowFirstColumn="0" w:lastRowLastColumn="0"/>
            </w:pPr>
            <w:r>
              <w:lastRenderedPageBreak/>
              <w:t xml:space="preserve">Ikke tatt til følge. </w:t>
            </w:r>
          </w:p>
          <w:p w:rsidR="007E19DB" w:rsidRPr="00187D92" w:rsidRDefault="007E19DB" w:rsidP="004B0D9F">
            <w:pPr>
              <w:cnfStyle w:val="000000100000" w:firstRow="0" w:lastRow="0" w:firstColumn="0" w:lastColumn="0" w:oddVBand="0" w:evenVBand="0" w:oddHBand="1" w:evenHBand="0" w:firstRowFirstColumn="0" w:firstRowLastColumn="0" w:lastRowFirstColumn="0" w:lastRowLastColumn="0"/>
            </w:pPr>
            <w:r w:rsidRPr="00187D92">
              <w:t xml:space="preserve">Sjøfartsdirektoratet er enig i at den miljømessige sikkerheten er viktig i vurderingen av om dispensasjoner bør gis, men ser ikke behovet for å presisere dette i </w:t>
            </w:r>
            <w:proofErr w:type="spellStart"/>
            <w:r w:rsidRPr="00187D92">
              <w:t>forskriften</w:t>
            </w:r>
            <w:proofErr w:type="spellEnd"/>
            <w:r w:rsidRPr="00187D92">
              <w:t xml:space="preserve">, da dette allerede er dekket av begrepet </w:t>
            </w:r>
            <w:r w:rsidRPr="00187D92">
              <w:lastRenderedPageBreak/>
              <w:t>«sikkerhetsmessig forsvarlig».</w:t>
            </w:r>
          </w:p>
        </w:tc>
      </w:tr>
      <w:tr w:rsidR="007E19DB" w:rsidRPr="003501ED" w:rsidTr="004B0D9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7E19DB" w:rsidRPr="003501ED" w:rsidRDefault="007E19DB" w:rsidP="004B0D9F">
            <w:r w:rsidRPr="003501ED">
              <w:lastRenderedPageBreak/>
              <w:t>Miljø-sikkerhets-</w:t>
            </w:r>
            <w:proofErr w:type="spellStart"/>
            <w:r w:rsidRPr="003501ED">
              <w:t>forskriften</w:t>
            </w:r>
            <w:proofErr w:type="spellEnd"/>
            <w:r w:rsidRPr="003501ED">
              <w:t xml:space="preserve"> § 7 fjerde ledd bokstav a</w:t>
            </w:r>
          </w:p>
        </w:tc>
        <w:tc>
          <w:tcPr>
            <w:tcW w:w="1701" w:type="dxa"/>
          </w:tcPr>
          <w:p w:rsidR="007E19DB" w:rsidRPr="003501ED" w:rsidRDefault="007E19DB" w:rsidP="004B0D9F">
            <w:pPr>
              <w:cnfStyle w:val="000000010000" w:firstRow="0" w:lastRow="0" w:firstColumn="0" w:lastColumn="0" w:oddVBand="0" w:evenVBand="0" w:oddHBand="0" w:evenHBand="1" w:firstRowFirstColumn="0" w:firstRowLastColumn="0" w:lastRowFirstColumn="0" w:lastRowLastColumn="0"/>
            </w:pPr>
            <w:r w:rsidRPr="003501ED">
              <w:t>Norsk havneforening</w:t>
            </w:r>
          </w:p>
        </w:tc>
        <w:tc>
          <w:tcPr>
            <w:tcW w:w="2976" w:type="dxa"/>
          </w:tcPr>
          <w:p w:rsidR="007E19DB" w:rsidRPr="003501ED" w:rsidRDefault="007E19DB" w:rsidP="004B0D9F">
            <w:pPr>
              <w:autoSpaceDE w:val="0"/>
              <w:autoSpaceDN w:val="0"/>
              <w:adjustRightInd w:val="0"/>
              <w:cnfStyle w:val="000000010000" w:firstRow="0" w:lastRow="0" w:firstColumn="0" w:lastColumn="0" w:oddVBand="0" w:evenVBand="0" w:oddHBand="0" w:evenHBand="1" w:firstRowFirstColumn="0" w:firstRowLastColumn="0" w:lastRowFirstColumn="0" w:lastRowLastColumn="0"/>
              <w:rPr>
                <w:color w:val="000000"/>
              </w:rPr>
            </w:pPr>
            <w:r w:rsidRPr="003501ED">
              <w:rPr>
                <w:color w:val="000000"/>
              </w:rPr>
              <w:t>Foreningen er positiv til tiltak som øker fleksibilitet og dermed bedrer rammevilkårene for sjøtransport så fremt det ikke har noen negative konsekvenser for sikkerhet eller miljøet.</w:t>
            </w:r>
          </w:p>
        </w:tc>
        <w:tc>
          <w:tcPr>
            <w:tcW w:w="2943" w:type="dxa"/>
          </w:tcPr>
          <w:p w:rsidR="007E19DB" w:rsidRPr="003501ED" w:rsidRDefault="007E19DB" w:rsidP="004B0D9F">
            <w:pPr>
              <w:cnfStyle w:val="000000010000" w:firstRow="0" w:lastRow="0" w:firstColumn="0" w:lastColumn="0" w:oddVBand="0" w:evenVBand="0" w:oddHBand="0" w:evenHBand="1" w:firstRowFirstColumn="0" w:firstRowLastColumn="0" w:lastRowFirstColumn="0" w:lastRowLastColumn="0"/>
            </w:pPr>
          </w:p>
        </w:tc>
      </w:tr>
      <w:tr w:rsidR="007E19DB" w:rsidRPr="003501ED" w:rsidTr="004B0D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7E19DB" w:rsidRPr="003501ED" w:rsidRDefault="007E19DB" w:rsidP="004B0D9F">
            <w:r w:rsidRPr="003501ED">
              <w:t>Miljø-sikkerhets-</w:t>
            </w:r>
            <w:proofErr w:type="spellStart"/>
            <w:r w:rsidRPr="003501ED">
              <w:t>forskriften</w:t>
            </w:r>
            <w:proofErr w:type="spellEnd"/>
            <w:r w:rsidRPr="003501ED">
              <w:t xml:space="preserve"> § 7 fjerde ledd bokstav a</w:t>
            </w:r>
          </w:p>
        </w:tc>
        <w:tc>
          <w:tcPr>
            <w:tcW w:w="1701" w:type="dxa"/>
          </w:tcPr>
          <w:p w:rsidR="007E19DB" w:rsidRPr="003501ED" w:rsidRDefault="007E19DB" w:rsidP="004B0D9F">
            <w:pPr>
              <w:cnfStyle w:val="000000100000" w:firstRow="0" w:lastRow="0" w:firstColumn="0" w:lastColumn="0" w:oddVBand="0" w:evenVBand="0" w:oddHBand="1" w:evenHBand="0" w:firstRowFirstColumn="0" w:firstRowLastColumn="0" w:lastRowFirstColumn="0" w:lastRowLastColumn="0"/>
            </w:pPr>
            <w:r w:rsidRPr="003501ED">
              <w:t>Den norske advokatforening</w:t>
            </w:r>
          </w:p>
        </w:tc>
        <w:tc>
          <w:tcPr>
            <w:tcW w:w="2976" w:type="dxa"/>
          </w:tcPr>
          <w:p w:rsidR="007E19DB" w:rsidRPr="003501ED" w:rsidRDefault="007E19DB" w:rsidP="004B0D9F">
            <w:pPr>
              <w:cnfStyle w:val="000000100000" w:firstRow="0" w:lastRow="0" w:firstColumn="0" w:lastColumn="0" w:oddVBand="0" w:evenVBand="0" w:oddHBand="1" w:evenHBand="0" w:firstRowFirstColumn="0" w:firstRowLastColumn="0" w:lastRowFirstColumn="0" w:lastRowLastColumn="0"/>
            </w:pPr>
            <w:r w:rsidRPr="003501ED">
              <w:t xml:space="preserve">Advokatforeningen </w:t>
            </w:r>
            <w:r>
              <w:t>anser d</w:t>
            </w:r>
            <w:r w:rsidRPr="003501ED">
              <w:t>irektoratets endringsforslag som hensiktsmessige. Med unntak av at Advokatforeningen mener at det er behov for en justering i tilknytning til dispensasjonshjemmelen som er foreslått inntatt i miljøsikkerhetsforskriften § </w:t>
            </w:r>
            <w:r>
              <w:t>7</w:t>
            </w:r>
            <w:r w:rsidRPr="003501ED">
              <w:t xml:space="preserve">, har Advokatforeningen ikke funnet grunn til </w:t>
            </w:r>
            <w:r>
              <w:t>innvendinger mot d</w:t>
            </w:r>
            <w:r w:rsidRPr="003501ED">
              <w:t>irektoratets forslag.</w:t>
            </w:r>
          </w:p>
          <w:p w:rsidR="007E19DB" w:rsidRPr="003501ED" w:rsidRDefault="007E19DB" w:rsidP="004B0D9F">
            <w:pPr>
              <w:cnfStyle w:val="000000100000" w:firstRow="0" w:lastRow="0" w:firstColumn="0" w:lastColumn="0" w:oddVBand="0" w:evenVBand="0" w:oddHBand="1" w:evenHBand="0" w:firstRowFirstColumn="0" w:firstRowLastColumn="0" w:lastRowFirstColumn="0" w:lastRowLastColumn="0"/>
            </w:pPr>
          </w:p>
          <w:p w:rsidR="007E19DB" w:rsidRPr="003501ED" w:rsidRDefault="007E19DB" w:rsidP="004B0D9F">
            <w:pPr>
              <w:cnfStyle w:val="000000100000" w:firstRow="0" w:lastRow="0" w:firstColumn="0" w:lastColumn="0" w:oddVBand="0" w:evenVBand="0" w:oddHBand="1" w:evenHBand="0" w:firstRowFirstColumn="0" w:firstRowLastColumn="0" w:lastRowFirstColumn="0" w:lastRowLastColumn="0"/>
              <w:rPr>
                <w:b/>
              </w:rPr>
            </w:pPr>
            <w:r w:rsidRPr="003501ED">
              <w:rPr>
                <w:b/>
              </w:rPr>
              <w:t>Endringer i forskrift for gjennomføring av endringer i MARPOL-vedleggene</w:t>
            </w:r>
          </w:p>
          <w:p w:rsidR="007E19DB" w:rsidRPr="003501ED" w:rsidRDefault="007E19DB" w:rsidP="004B0D9F">
            <w:pPr>
              <w:cnfStyle w:val="000000100000" w:firstRow="0" w:lastRow="0" w:firstColumn="0" w:lastColumn="0" w:oddVBand="0" w:evenVBand="0" w:oddHBand="1" w:evenHBand="0" w:firstRowFirstColumn="0" w:firstRowLastColumn="0" w:lastRowFirstColumn="0" w:lastRowLastColumn="0"/>
            </w:pPr>
            <w:r w:rsidRPr="003501ED">
              <w:t>Direktoratet har valgt å benytte inkorporasjon som gjennomføringsmetode for gjennomføring av endrings-vedleggene til MARPOL, ved at det i de aktuelle forskriftsbestemmelsene henvises til endrings</w:t>
            </w:r>
            <w:r>
              <w:t>-</w:t>
            </w:r>
            <w:r w:rsidRPr="003501ED">
              <w:t xml:space="preserve">vedleggene. Dette er i tråd med den praksis som har vært anvendt i forbindelse med gjennomføring av andre endringer gjort i MARPOL-vedleggene. Advokatforeningen har ingen innvendinger mot dette. </w:t>
            </w:r>
          </w:p>
          <w:p w:rsidR="007E19DB" w:rsidRPr="003501ED" w:rsidRDefault="007E19DB" w:rsidP="004B0D9F">
            <w:pPr>
              <w:cnfStyle w:val="000000100000" w:firstRow="0" w:lastRow="0" w:firstColumn="0" w:lastColumn="0" w:oddVBand="0" w:evenVBand="0" w:oddHBand="1" w:evenHBand="0" w:firstRowFirstColumn="0" w:firstRowLastColumn="0" w:lastRowFirstColumn="0" w:lastRowLastColumn="0"/>
            </w:pPr>
          </w:p>
          <w:p w:rsidR="007E19DB" w:rsidRPr="003501ED" w:rsidRDefault="007E19DB" w:rsidP="004B0D9F">
            <w:pPr>
              <w:cnfStyle w:val="000000100000" w:firstRow="0" w:lastRow="0" w:firstColumn="0" w:lastColumn="0" w:oddVBand="0" w:evenVBand="0" w:oddHBand="1" w:evenHBand="0" w:firstRowFirstColumn="0" w:firstRowLastColumn="0" w:lastRowFirstColumn="0" w:lastRowLastColumn="0"/>
              <w:rPr>
                <w:b/>
              </w:rPr>
            </w:pPr>
            <w:r w:rsidRPr="003501ED">
              <w:rPr>
                <w:b/>
              </w:rPr>
              <w:lastRenderedPageBreak/>
              <w:t xml:space="preserve">Endringer i miljøsikkerhetsforskriften og </w:t>
            </w:r>
            <w:proofErr w:type="spellStart"/>
            <w:r w:rsidRPr="003501ED">
              <w:rPr>
                <w:b/>
              </w:rPr>
              <w:t>dagbokforskriften</w:t>
            </w:r>
            <w:proofErr w:type="spellEnd"/>
          </w:p>
          <w:p w:rsidR="007E19DB" w:rsidRPr="003501ED" w:rsidRDefault="007E19DB" w:rsidP="004B0D9F">
            <w:pPr>
              <w:cnfStyle w:val="000000100000" w:firstRow="0" w:lastRow="0" w:firstColumn="0" w:lastColumn="0" w:oddVBand="0" w:evenVBand="0" w:oddHBand="1" w:evenHBand="0" w:firstRowFirstColumn="0" w:firstRowLastColumn="0" w:lastRowFirstColumn="0" w:lastRowLastColumn="0"/>
            </w:pPr>
            <w:r w:rsidRPr="003501ED">
              <w:t>Direktoratet har foreslått endringer i miljøsikkerhets-</w:t>
            </w:r>
            <w:proofErr w:type="spellStart"/>
            <w:r w:rsidRPr="003501ED">
              <w:t>forskriften</w:t>
            </w:r>
            <w:proofErr w:type="spellEnd"/>
            <w:r w:rsidRPr="003501ED">
              <w:t xml:space="preserve"> § 7 første og tredje ledd, samt § 18. I tillegg foreslås det å ta inn igjen § 10 i </w:t>
            </w:r>
            <w:proofErr w:type="spellStart"/>
            <w:r w:rsidRPr="003501ED">
              <w:t>dagbokforskriften</w:t>
            </w:r>
            <w:proofErr w:type="spellEnd"/>
            <w:r w:rsidRPr="003501ED">
              <w:t xml:space="preserve">. Endrings-forslagene innebærer hovedsakelig språklige korrigeringer og opp-dateringer, med formål om å oppnå større samsvar mellom miljøsikkerhetsforskriften og MARPOL. Direktoratet har videre fremholdt at endringene av reglene i </w:t>
            </w:r>
            <w:proofErr w:type="spellStart"/>
            <w:r w:rsidRPr="003501ED">
              <w:t>dagbokforskriften</w:t>
            </w:r>
            <w:proofErr w:type="spellEnd"/>
            <w:r w:rsidRPr="003501ED">
              <w:t xml:space="preserve"> medfører en viss innskjerpelse, siden Direktoratet i sitt forslag fremmer at maskindagbok må føres uavhengig av fartsområde og brutto-tonnasje. Endringene medfører imidlertid ingen betydelige endringer fra dagens praksis, og Advokatforeningen støtter direktoratets endringsforslag. </w:t>
            </w:r>
          </w:p>
          <w:p w:rsidR="007E19DB" w:rsidRPr="003501ED" w:rsidRDefault="007E19DB" w:rsidP="004B0D9F">
            <w:pPr>
              <w:cnfStyle w:val="000000100000" w:firstRow="0" w:lastRow="0" w:firstColumn="0" w:lastColumn="0" w:oddVBand="0" w:evenVBand="0" w:oddHBand="1" w:evenHBand="0" w:firstRowFirstColumn="0" w:firstRowLastColumn="0" w:lastRowFirstColumn="0" w:lastRowLastColumn="0"/>
            </w:pPr>
          </w:p>
          <w:p w:rsidR="007E19DB" w:rsidRPr="003501ED" w:rsidRDefault="007E19DB" w:rsidP="004B0D9F">
            <w:pPr>
              <w:cnfStyle w:val="000000100000" w:firstRow="0" w:lastRow="0" w:firstColumn="0" w:lastColumn="0" w:oddVBand="0" w:evenVBand="0" w:oddHBand="1" w:evenHBand="0" w:firstRowFirstColumn="0" w:firstRowLastColumn="0" w:lastRowFirstColumn="0" w:lastRowLastColumn="0"/>
              <w:rPr>
                <w:b/>
              </w:rPr>
            </w:pPr>
            <w:r w:rsidRPr="003501ED">
              <w:rPr>
                <w:b/>
              </w:rPr>
              <w:t>Forslag til ny dispensasjonsbestemmelse</w:t>
            </w:r>
          </w:p>
          <w:p w:rsidR="007E19DB" w:rsidRPr="003501ED" w:rsidRDefault="007E19DB" w:rsidP="004B0D9F">
            <w:pPr>
              <w:cnfStyle w:val="000000100000" w:firstRow="0" w:lastRow="0" w:firstColumn="0" w:lastColumn="0" w:oddVBand="0" w:evenVBand="0" w:oddHBand="1" w:evenHBand="0" w:firstRowFirstColumn="0" w:firstRowLastColumn="0" w:lastRowFirstColumn="0" w:lastRowLastColumn="0"/>
            </w:pPr>
            <w:r w:rsidRPr="003501ED">
              <w:t>Som tillegg til miljøsikkerhets</w:t>
            </w:r>
            <w:r>
              <w:t>-</w:t>
            </w:r>
            <w:proofErr w:type="spellStart"/>
            <w:r w:rsidRPr="003501ED">
              <w:t>forskriften</w:t>
            </w:r>
            <w:proofErr w:type="spellEnd"/>
            <w:r w:rsidRPr="003501ED">
              <w:t xml:space="preserve"> § 7 foreslår direktoratet å ta inn et nytt fjerde ledd hvor det gis adgang til å dispensere fra de miljøkrav som </w:t>
            </w:r>
            <w:proofErr w:type="spellStart"/>
            <w:r w:rsidRPr="003501ED">
              <w:t>forskriften</w:t>
            </w:r>
            <w:proofErr w:type="spellEnd"/>
            <w:r w:rsidRPr="003501ED">
              <w:t xml:space="preserve"> og MARPOL-vedleggende oppstiller til skipsfartøy i innenriksfart.</w:t>
            </w:r>
          </w:p>
          <w:p w:rsidR="007E19DB" w:rsidRPr="003501ED" w:rsidRDefault="007E19DB" w:rsidP="004B0D9F">
            <w:pPr>
              <w:cnfStyle w:val="000000100000" w:firstRow="0" w:lastRow="0" w:firstColumn="0" w:lastColumn="0" w:oddVBand="0" w:evenVBand="0" w:oddHBand="1" w:evenHBand="0" w:firstRowFirstColumn="0" w:firstRowLastColumn="0" w:lastRowFirstColumn="0" w:lastRowLastColumn="0"/>
            </w:pPr>
            <w:r w:rsidRPr="003501ED">
              <w:t xml:space="preserve">Etter Advokatforeningens oppfatning er det tjenlig med en slik dispensasjonsadgang. Det stilles likevel spørsmål ved om det alternative dispensasjonsvilkåret som oppstilles i bokstav a) - at det må godtgjøres at kravet ikke er "relevant" - er en </w:t>
            </w:r>
            <w:r w:rsidRPr="003501ED">
              <w:lastRenderedPageBreak/>
              <w:t>hensikts</w:t>
            </w:r>
            <w:r>
              <w:t>-</w:t>
            </w:r>
            <w:proofErr w:type="spellStart"/>
            <w:r w:rsidRPr="003501ED">
              <w:t>messig</w:t>
            </w:r>
            <w:proofErr w:type="spellEnd"/>
            <w:r w:rsidRPr="003501ED">
              <w:t xml:space="preserve"> utforming. At kravet må være "relevant", gir begrensede føringer på hvordan vilkåret skal praktiseres. I et miljørettslig perspektiv fremstår en slik innfallsvinkel uheldig, hvor en hver dispensasjon fra bestemmelsen vil kunne fremstå som en relevant risiko for de ytre miljøfaktorene til en større eller mindre krets. Det vage vurderingstemaet som er foreslått, medfører at det vil kunne fremstå som vanskelig å vurdere om man i et konkret tilfelle vil være berettiget til å innvilge dispensasjon. Dette kan igjen medføre at bestemmelsen får et preg av å være lite </w:t>
            </w:r>
            <w:proofErr w:type="spellStart"/>
            <w:r w:rsidRPr="003501ED">
              <w:t>forutberegnelig</w:t>
            </w:r>
            <w:proofErr w:type="spellEnd"/>
            <w:r w:rsidRPr="003501ED">
              <w:t>.</w:t>
            </w:r>
          </w:p>
          <w:p w:rsidR="007E19DB" w:rsidRPr="003501ED" w:rsidRDefault="007E19DB" w:rsidP="004B0D9F">
            <w:pPr>
              <w:cnfStyle w:val="000000100000" w:firstRow="0" w:lastRow="0" w:firstColumn="0" w:lastColumn="0" w:oddVBand="0" w:evenVBand="0" w:oddHBand="1" w:evenHBand="0" w:firstRowFirstColumn="0" w:firstRowLastColumn="0" w:lastRowFirstColumn="0" w:lastRowLastColumn="0"/>
            </w:pPr>
            <w:r w:rsidRPr="003501ED">
              <w:t xml:space="preserve">Advokatforeningen mener at ordlyden "vesentlig" gir en mer hensiktsmessig </w:t>
            </w:r>
            <w:proofErr w:type="spellStart"/>
            <w:r w:rsidRPr="003501ED">
              <w:t>vurderingsnorm</w:t>
            </w:r>
            <w:proofErr w:type="spellEnd"/>
            <w:r w:rsidRPr="003501ED">
              <w:t xml:space="preserve">, både for det aktuelle rettssubjektet som rammes av vedtaket og for forvaltningen selv. At kravet skal være "vesentlig", er en kjent metodikk overfor dispensasjonshjemler tilknyttet miljøretten. Advokatforeningen mener at en slik ordlyd har en lovteknisk bedre utforming, samtidig som det fortsatt i stor utstrekning er opp til forvaltningen selv å regulere dispensasjonsadgangen. </w:t>
            </w:r>
          </w:p>
          <w:p w:rsidR="007E19DB" w:rsidRPr="003501ED" w:rsidRDefault="007E19DB" w:rsidP="004B0D9F">
            <w:pPr>
              <w:cnfStyle w:val="000000100000" w:firstRow="0" w:lastRow="0" w:firstColumn="0" w:lastColumn="0" w:oddVBand="0" w:evenVBand="0" w:oddHBand="1" w:evenHBand="0" w:firstRowFirstColumn="0" w:firstRowLastColumn="0" w:lastRowFirstColumn="0" w:lastRowLastColumn="0"/>
            </w:pPr>
            <w:r w:rsidRPr="003501ED">
              <w:t>Advokatforeningen bemerker også at det vage vurderings</w:t>
            </w:r>
            <w:r>
              <w:t>-</w:t>
            </w:r>
            <w:r w:rsidRPr="003501ED">
              <w:t xml:space="preserve">temaet som den foreslåtte bestemmelsen legger opp til, medfører at flere hensyn av ikke-rettslig art vil kunne fremstå som relevante i dispensasjonsvurderingen. Det presiseres at å justere ordlyden til å gjelde krav som ikke er "vesentlig", ikke medfører noen begrensninger i dette, </w:t>
            </w:r>
            <w:r w:rsidRPr="003501ED">
              <w:lastRenderedPageBreak/>
              <w:t>ettersom forvaltningens diskresjonære kompetanse fortsatt ivaretas. På bakgrunn av dette foreslår Advokat</w:t>
            </w:r>
            <w:r>
              <w:t>-</w:t>
            </w:r>
            <w:r w:rsidRPr="003501ED">
              <w:t>foreningen at § 7 fjerde ledd gis følgende ordlyd hvor endringen i forhold til Direktoratets forslag er markert med understrekning:</w:t>
            </w:r>
          </w:p>
          <w:p w:rsidR="007E19DB" w:rsidRPr="003501ED" w:rsidRDefault="007E19DB" w:rsidP="004B0D9F">
            <w:pPr>
              <w:ind w:left="600"/>
              <w:cnfStyle w:val="000000100000" w:firstRow="0" w:lastRow="0" w:firstColumn="0" w:lastColumn="0" w:oddVBand="0" w:evenVBand="0" w:oddHBand="1" w:evenHBand="0" w:firstRowFirstColumn="0" w:firstRowLastColumn="0" w:lastRowFirstColumn="0" w:lastRowLastColumn="0"/>
              <w:rPr>
                <w:i/>
              </w:rPr>
            </w:pPr>
            <w:r w:rsidRPr="003501ED">
              <w:rPr>
                <w:i/>
              </w:rPr>
              <w:t>"Sjøfartsdirektoratet kan unnta et skip i innenriksfart fra ett eller flere av kravene i første ledd dersom rederiet søker skriftlig om unntak og et av følgende krav er oppfylt</w:t>
            </w:r>
          </w:p>
          <w:p w:rsidR="007E19DB" w:rsidRPr="003501ED" w:rsidRDefault="007E19DB" w:rsidP="007E19DB">
            <w:pPr>
              <w:pStyle w:val="Listeavsnitt"/>
              <w:widowControl w:val="0"/>
              <w:numPr>
                <w:ilvl w:val="0"/>
                <w:numId w:val="6"/>
              </w:numPr>
              <w:spacing w:line="280" w:lineRule="exact"/>
              <w:ind w:left="600" w:hanging="567"/>
              <w:cnfStyle w:val="000000100000" w:firstRow="0" w:lastRow="0" w:firstColumn="0" w:lastColumn="0" w:oddVBand="0" w:evenVBand="0" w:oddHBand="1" w:evenHBand="0" w:firstRowFirstColumn="0" w:firstRowLastColumn="0" w:lastRowFirstColumn="0" w:lastRowLastColumn="0"/>
              <w:rPr>
                <w:i/>
              </w:rPr>
            </w:pPr>
            <w:r w:rsidRPr="003501ED">
              <w:rPr>
                <w:i/>
              </w:rPr>
              <w:t xml:space="preserve">det godtgjøres at </w:t>
            </w:r>
            <w:r w:rsidRPr="003501ED">
              <w:rPr>
                <w:i/>
                <w:u w:val="single"/>
              </w:rPr>
              <w:t>kravet ikke er vesentlig</w:t>
            </w:r>
            <w:r w:rsidRPr="003501ED">
              <w:rPr>
                <w:i/>
              </w:rPr>
              <w:t xml:space="preserve"> og at det anses sikkerhetsmessig forsvarlig</w:t>
            </w:r>
          </w:p>
          <w:p w:rsidR="007E19DB" w:rsidRPr="003501ED" w:rsidRDefault="007E19DB" w:rsidP="007E19DB">
            <w:pPr>
              <w:pStyle w:val="Listeavsnitt"/>
              <w:widowControl w:val="0"/>
              <w:numPr>
                <w:ilvl w:val="0"/>
                <w:numId w:val="6"/>
              </w:numPr>
              <w:spacing w:line="280" w:lineRule="exact"/>
              <w:ind w:left="600" w:hanging="567"/>
              <w:cnfStyle w:val="000000100000" w:firstRow="0" w:lastRow="0" w:firstColumn="0" w:lastColumn="0" w:oddVBand="0" w:evenVBand="0" w:oddHBand="1" w:evenHBand="0" w:firstRowFirstColumn="0" w:firstRowLastColumn="0" w:lastRowFirstColumn="0" w:lastRowLastColumn="0"/>
              <w:rPr>
                <w:color w:val="000000"/>
              </w:rPr>
            </w:pPr>
            <w:r w:rsidRPr="003501ED">
              <w:rPr>
                <w:i/>
              </w:rPr>
              <w:t xml:space="preserve">det godtgjøres at kompenserende tiltak vil opprettholde samme sikkerhetsnivå som kravet i </w:t>
            </w:r>
            <w:proofErr w:type="spellStart"/>
            <w:r w:rsidRPr="003501ED">
              <w:rPr>
                <w:i/>
              </w:rPr>
              <w:t>forskriften</w:t>
            </w:r>
            <w:proofErr w:type="spellEnd"/>
            <w:r w:rsidRPr="003501ED">
              <w:rPr>
                <w:i/>
              </w:rPr>
              <w:t>."</w:t>
            </w:r>
          </w:p>
        </w:tc>
        <w:tc>
          <w:tcPr>
            <w:tcW w:w="2943" w:type="dxa"/>
          </w:tcPr>
          <w:p w:rsidR="007E19DB" w:rsidRPr="003501ED" w:rsidRDefault="007E19DB" w:rsidP="004B0D9F">
            <w:pPr>
              <w:cnfStyle w:val="000000100000" w:firstRow="0" w:lastRow="0" w:firstColumn="0" w:lastColumn="0" w:oddVBand="0" w:evenVBand="0" w:oddHBand="1" w:evenHBand="0" w:firstRowFirstColumn="0" w:firstRowLastColumn="0" w:lastRowFirstColumn="0" w:lastRowLastColumn="0"/>
            </w:pPr>
          </w:p>
          <w:p w:rsidR="007E19DB" w:rsidRPr="003501ED" w:rsidRDefault="007E19DB" w:rsidP="004B0D9F">
            <w:pPr>
              <w:cnfStyle w:val="000000100000" w:firstRow="0" w:lastRow="0" w:firstColumn="0" w:lastColumn="0" w:oddVBand="0" w:evenVBand="0" w:oddHBand="1" w:evenHBand="0" w:firstRowFirstColumn="0" w:firstRowLastColumn="0" w:lastRowFirstColumn="0" w:lastRowLastColumn="0"/>
            </w:pPr>
          </w:p>
          <w:p w:rsidR="007E19DB" w:rsidRPr="003501ED" w:rsidRDefault="007E19DB" w:rsidP="004B0D9F">
            <w:pPr>
              <w:cnfStyle w:val="000000100000" w:firstRow="0" w:lastRow="0" w:firstColumn="0" w:lastColumn="0" w:oddVBand="0" w:evenVBand="0" w:oddHBand="1" w:evenHBand="0" w:firstRowFirstColumn="0" w:firstRowLastColumn="0" w:lastRowFirstColumn="0" w:lastRowLastColumn="0"/>
            </w:pPr>
          </w:p>
          <w:p w:rsidR="007E19DB" w:rsidRPr="003501ED" w:rsidRDefault="007E19DB" w:rsidP="004B0D9F">
            <w:pPr>
              <w:cnfStyle w:val="000000100000" w:firstRow="0" w:lastRow="0" w:firstColumn="0" w:lastColumn="0" w:oddVBand="0" w:evenVBand="0" w:oddHBand="1" w:evenHBand="0" w:firstRowFirstColumn="0" w:firstRowLastColumn="0" w:lastRowFirstColumn="0" w:lastRowLastColumn="0"/>
            </w:pPr>
          </w:p>
          <w:p w:rsidR="007E19DB" w:rsidRPr="003501ED" w:rsidRDefault="007E19DB" w:rsidP="004B0D9F">
            <w:pPr>
              <w:cnfStyle w:val="000000100000" w:firstRow="0" w:lastRow="0" w:firstColumn="0" w:lastColumn="0" w:oddVBand="0" w:evenVBand="0" w:oddHBand="1" w:evenHBand="0" w:firstRowFirstColumn="0" w:firstRowLastColumn="0" w:lastRowFirstColumn="0" w:lastRowLastColumn="0"/>
            </w:pPr>
          </w:p>
          <w:p w:rsidR="007E19DB" w:rsidRPr="003501ED" w:rsidRDefault="007E19DB" w:rsidP="004B0D9F">
            <w:pPr>
              <w:cnfStyle w:val="000000100000" w:firstRow="0" w:lastRow="0" w:firstColumn="0" w:lastColumn="0" w:oddVBand="0" w:evenVBand="0" w:oddHBand="1" w:evenHBand="0" w:firstRowFirstColumn="0" w:firstRowLastColumn="0" w:lastRowFirstColumn="0" w:lastRowLastColumn="0"/>
            </w:pPr>
          </w:p>
          <w:p w:rsidR="007E19DB" w:rsidRPr="003501ED" w:rsidRDefault="007E19DB" w:rsidP="004B0D9F">
            <w:pPr>
              <w:cnfStyle w:val="000000100000" w:firstRow="0" w:lastRow="0" w:firstColumn="0" w:lastColumn="0" w:oddVBand="0" w:evenVBand="0" w:oddHBand="1" w:evenHBand="0" w:firstRowFirstColumn="0" w:firstRowLastColumn="0" w:lastRowFirstColumn="0" w:lastRowLastColumn="0"/>
            </w:pPr>
          </w:p>
          <w:p w:rsidR="007E19DB" w:rsidRPr="003501ED" w:rsidRDefault="007E19DB" w:rsidP="004B0D9F">
            <w:pPr>
              <w:cnfStyle w:val="000000100000" w:firstRow="0" w:lastRow="0" w:firstColumn="0" w:lastColumn="0" w:oddVBand="0" w:evenVBand="0" w:oddHBand="1" w:evenHBand="0" w:firstRowFirstColumn="0" w:firstRowLastColumn="0" w:lastRowFirstColumn="0" w:lastRowLastColumn="0"/>
            </w:pPr>
          </w:p>
          <w:p w:rsidR="007E19DB" w:rsidRPr="003501ED" w:rsidRDefault="007E19DB" w:rsidP="004B0D9F">
            <w:pPr>
              <w:cnfStyle w:val="000000100000" w:firstRow="0" w:lastRow="0" w:firstColumn="0" w:lastColumn="0" w:oddVBand="0" w:evenVBand="0" w:oddHBand="1" w:evenHBand="0" w:firstRowFirstColumn="0" w:firstRowLastColumn="0" w:lastRowFirstColumn="0" w:lastRowLastColumn="0"/>
            </w:pPr>
          </w:p>
          <w:p w:rsidR="007E19DB" w:rsidRPr="003501ED" w:rsidRDefault="007E19DB" w:rsidP="004B0D9F">
            <w:pPr>
              <w:cnfStyle w:val="000000100000" w:firstRow="0" w:lastRow="0" w:firstColumn="0" w:lastColumn="0" w:oddVBand="0" w:evenVBand="0" w:oddHBand="1" w:evenHBand="0" w:firstRowFirstColumn="0" w:firstRowLastColumn="0" w:lastRowFirstColumn="0" w:lastRowLastColumn="0"/>
            </w:pPr>
          </w:p>
          <w:p w:rsidR="007E19DB" w:rsidRPr="003501ED" w:rsidRDefault="007E19DB" w:rsidP="004B0D9F">
            <w:pPr>
              <w:cnfStyle w:val="000000100000" w:firstRow="0" w:lastRow="0" w:firstColumn="0" w:lastColumn="0" w:oddVBand="0" w:evenVBand="0" w:oddHBand="1" w:evenHBand="0" w:firstRowFirstColumn="0" w:firstRowLastColumn="0" w:lastRowFirstColumn="0" w:lastRowLastColumn="0"/>
            </w:pPr>
          </w:p>
          <w:p w:rsidR="007E19DB" w:rsidRPr="003501ED" w:rsidRDefault="007E19DB" w:rsidP="004B0D9F">
            <w:pPr>
              <w:cnfStyle w:val="000000100000" w:firstRow="0" w:lastRow="0" w:firstColumn="0" w:lastColumn="0" w:oddVBand="0" w:evenVBand="0" w:oddHBand="1" w:evenHBand="0" w:firstRowFirstColumn="0" w:firstRowLastColumn="0" w:lastRowFirstColumn="0" w:lastRowLastColumn="0"/>
            </w:pPr>
          </w:p>
          <w:p w:rsidR="007E19DB" w:rsidRPr="003501ED" w:rsidRDefault="007E19DB" w:rsidP="004B0D9F">
            <w:pPr>
              <w:cnfStyle w:val="000000100000" w:firstRow="0" w:lastRow="0" w:firstColumn="0" w:lastColumn="0" w:oddVBand="0" w:evenVBand="0" w:oddHBand="1" w:evenHBand="0" w:firstRowFirstColumn="0" w:firstRowLastColumn="0" w:lastRowFirstColumn="0" w:lastRowLastColumn="0"/>
            </w:pPr>
          </w:p>
          <w:p w:rsidR="007E19DB" w:rsidRPr="003501ED" w:rsidRDefault="007E19DB" w:rsidP="004B0D9F">
            <w:pPr>
              <w:cnfStyle w:val="000000100000" w:firstRow="0" w:lastRow="0" w:firstColumn="0" w:lastColumn="0" w:oddVBand="0" w:evenVBand="0" w:oddHBand="1" w:evenHBand="0" w:firstRowFirstColumn="0" w:firstRowLastColumn="0" w:lastRowFirstColumn="0" w:lastRowLastColumn="0"/>
            </w:pPr>
          </w:p>
          <w:p w:rsidR="007E19DB" w:rsidRPr="003501ED" w:rsidRDefault="007E19DB" w:rsidP="004B0D9F">
            <w:pPr>
              <w:cnfStyle w:val="000000100000" w:firstRow="0" w:lastRow="0" w:firstColumn="0" w:lastColumn="0" w:oddVBand="0" w:evenVBand="0" w:oddHBand="1" w:evenHBand="0" w:firstRowFirstColumn="0" w:firstRowLastColumn="0" w:lastRowFirstColumn="0" w:lastRowLastColumn="0"/>
            </w:pPr>
          </w:p>
          <w:p w:rsidR="007E19DB" w:rsidRPr="003501ED" w:rsidRDefault="007E19DB" w:rsidP="004B0D9F">
            <w:pPr>
              <w:cnfStyle w:val="000000100000" w:firstRow="0" w:lastRow="0" w:firstColumn="0" w:lastColumn="0" w:oddVBand="0" w:evenVBand="0" w:oddHBand="1" w:evenHBand="0" w:firstRowFirstColumn="0" w:firstRowLastColumn="0" w:lastRowFirstColumn="0" w:lastRowLastColumn="0"/>
            </w:pPr>
          </w:p>
          <w:p w:rsidR="007E19DB" w:rsidRPr="003501ED" w:rsidRDefault="007E19DB" w:rsidP="004B0D9F">
            <w:pPr>
              <w:cnfStyle w:val="000000100000" w:firstRow="0" w:lastRow="0" w:firstColumn="0" w:lastColumn="0" w:oddVBand="0" w:evenVBand="0" w:oddHBand="1" w:evenHBand="0" w:firstRowFirstColumn="0" w:firstRowLastColumn="0" w:lastRowFirstColumn="0" w:lastRowLastColumn="0"/>
            </w:pPr>
          </w:p>
          <w:p w:rsidR="007E19DB" w:rsidRPr="003501ED" w:rsidRDefault="007E19DB" w:rsidP="004B0D9F">
            <w:pPr>
              <w:cnfStyle w:val="000000100000" w:firstRow="0" w:lastRow="0" w:firstColumn="0" w:lastColumn="0" w:oddVBand="0" w:evenVBand="0" w:oddHBand="1" w:evenHBand="0" w:firstRowFirstColumn="0" w:firstRowLastColumn="0" w:lastRowFirstColumn="0" w:lastRowLastColumn="0"/>
            </w:pPr>
          </w:p>
          <w:p w:rsidR="007E19DB" w:rsidRPr="003501ED" w:rsidRDefault="007E19DB" w:rsidP="004B0D9F">
            <w:pPr>
              <w:cnfStyle w:val="000000100000" w:firstRow="0" w:lastRow="0" w:firstColumn="0" w:lastColumn="0" w:oddVBand="0" w:evenVBand="0" w:oddHBand="1" w:evenHBand="0" w:firstRowFirstColumn="0" w:firstRowLastColumn="0" w:lastRowFirstColumn="0" w:lastRowLastColumn="0"/>
            </w:pPr>
          </w:p>
          <w:p w:rsidR="007E19DB" w:rsidRPr="003501ED" w:rsidRDefault="007E19DB" w:rsidP="004B0D9F">
            <w:pPr>
              <w:cnfStyle w:val="000000100000" w:firstRow="0" w:lastRow="0" w:firstColumn="0" w:lastColumn="0" w:oddVBand="0" w:evenVBand="0" w:oddHBand="1" w:evenHBand="0" w:firstRowFirstColumn="0" w:firstRowLastColumn="0" w:lastRowFirstColumn="0" w:lastRowLastColumn="0"/>
            </w:pPr>
          </w:p>
          <w:p w:rsidR="007E19DB" w:rsidRPr="003501ED" w:rsidRDefault="007E19DB" w:rsidP="004B0D9F">
            <w:pPr>
              <w:cnfStyle w:val="000000100000" w:firstRow="0" w:lastRow="0" w:firstColumn="0" w:lastColumn="0" w:oddVBand="0" w:evenVBand="0" w:oddHBand="1" w:evenHBand="0" w:firstRowFirstColumn="0" w:firstRowLastColumn="0" w:lastRowFirstColumn="0" w:lastRowLastColumn="0"/>
            </w:pPr>
          </w:p>
          <w:p w:rsidR="007E19DB" w:rsidRPr="003501ED" w:rsidRDefault="007E19DB" w:rsidP="004B0D9F">
            <w:pPr>
              <w:cnfStyle w:val="000000100000" w:firstRow="0" w:lastRow="0" w:firstColumn="0" w:lastColumn="0" w:oddVBand="0" w:evenVBand="0" w:oddHBand="1" w:evenHBand="0" w:firstRowFirstColumn="0" w:firstRowLastColumn="0" w:lastRowFirstColumn="0" w:lastRowLastColumn="0"/>
            </w:pPr>
          </w:p>
          <w:p w:rsidR="007E19DB" w:rsidRPr="003501ED" w:rsidRDefault="007E19DB" w:rsidP="004B0D9F">
            <w:pPr>
              <w:cnfStyle w:val="000000100000" w:firstRow="0" w:lastRow="0" w:firstColumn="0" w:lastColumn="0" w:oddVBand="0" w:evenVBand="0" w:oddHBand="1" w:evenHBand="0" w:firstRowFirstColumn="0" w:firstRowLastColumn="0" w:lastRowFirstColumn="0" w:lastRowLastColumn="0"/>
            </w:pPr>
          </w:p>
          <w:p w:rsidR="007E19DB" w:rsidRPr="003501ED" w:rsidRDefault="007E19DB" w:rsidP="004B0D9F">
            <w:pPr>
              <w:cnfStyle w:val="000000100000" w:firstRow="0" w:lastRow="0" w:firstColumn="0" w:lastColumn="0" w:oddVBand="0" w:evenVBand="0" w:oddHBand="1" w:evenHBand="0" w:firstRowFirstColumn="0" w:firstRowLastColumn="0" w:lastRowFirstColumn="0" w:lastRowLastColumn="0"/>
            </w:pPr>
          </w:p>
          <w:p w:rsidR="007E19DB" w:rsidRPr="003501ED" w:rsidRDefault="007E19DB" w:rsidP="004B0D9F">
            <w:pPr>
              <w:cnfStyle w:val="000000100000" w:firstRow="0" w:lastRow="0" w:firstColumn="0" w:lastColumn="0" w:oddVBand="0" w:evenVBand="0" w:oddHBand="1" w:evenHBand="0" w:firstRowFirstColumn="0" w:firstRowLastColumn="0" w:lastRowFirstColumn="0" w:lastRowLastColumn="0"/>
            </w:pPr>
          </w:p>
          <w:p w:rsidR="007E19DB" w:rsidRPr="003501ED" w:rsidRDefault="007E19DB" w:rsidP="004B0D9F">
            <w:pPr>
              <w:cnfStyle w:val="000000100000" w:firstRow="0" w:lastRow="0" w:firstColumn="0" w:lastColumn="0" w:oddVBand="0" w:evenVBand="0" w:oddHBand="1" w:evenHBand="0" w:firstRowFirstColumn="0" w:firstRowLastColumn="0" w:lastRowFirstColumn="0" w:lastRowLastColumn="0"/>
            </w:pPr>
          </w:p>
          <w:p w:rsidR="007E19DB" w:rsidRPr="003501ED" w:rsidRDefault="007E19DB" w:rsidP="004B0D9F">
            <w:pPr>
              <w:cnfStyle w:val="000000100000" w:firstRow="0" w:lastRow="0" w:firstColumn="0" w:lastColumn="0" w:oddVBand="0" w:evenVBand="0" w:oddHBand="1" w:evenHBand="0" w:firstRowFirstColumn="0" w:firstRowLastColumn="0" w:lastRowFirstColumn="0" w:lastRowLastColumn="0"/>
            </w:pPr>
          </w:p>
          <w:p w:rsidR="007E19DB" w:rsidRPr="003501ED" w:rsidRDefault="007E19DB" w:rsidP="004B0D9F">
            <w:pPr>
              <w:cnfStyle w:val="000000100000" w:firstRow="0" w:lastRow="0" w:firstColumn="0" w:lastColumn="0" w:oddVBand="0" w:evenVBand="0" w:oddHBand="1" w:evenHBand="0" w:firstRowFirstColumn="0" w:firstRowLastColumn="0" w:lastRowFirstColumn="0" w:lastRowLastColumn="0"/>
            </w:pPr>
          </w:p>
          <w:p w:rsidR="007E19DB" w:rsidRPr="003501ED" w:rsidRDefault="007E19DB" w:rsidP="004B0D9F">
            <w:pPr>
              <w:cnfStyle w:val="000000100000" w:firstRow="0" w:lastRow="0" w:firstColumn="0" w:lastColumn="0" w:oddVBand="0" w:evenVBand="0" w:oddHBand="1" w:evenHBand="0" w:firstRowFirstColumn="0" w:firstRowLastColumn="0" w:lastRowFirstColumn="0" w:lastRowLastColumn="0"/>
            </w:pPr>
          </w:p>
          <w:p w:rsidR="007E19DB" w:rsidRPr="003501ED" w:rsidRDefault="007E19DB" w:rsidP="004B0D9F">
            <w:pPr>
              <w:cnfStyle w:val="000000100000" w:firstRow="0" w:lastRow="0" w:firstColumn="0" w:lastColumn="0" w:oddVBand="0" w:evenVBand="0" w:oddHBand="1" w:evenHBand="0" w:firstRowFirstColumn="0" w:firstRowLastColumn="0" w:lastRowFirstColumn="0" w:lastRowLastColumn="0"/>
            </w:pPr>
          </w:p>
          <w:p w:rsidR="007E19DB" w:rsidRPr="003501ED" w:rsidRDefault="007E19DB" w:rsidP="004B0D9F">
            <w:pPr>
              <w:cnfStyle w:val="000000100000" w:firstRow="0" w:lastRow="0" w:firstColumn="0" w:lastColumn="0" w:oddVBand="0" w:evenVBand="0" w:oddHBand="1" w:evenHBand="0" w:firstRowFirstColumn="0" w:firstRowLastColumn="0" w:lastRowFirstColumn="0" w:lastRowLastColumn="0"/>
            </w:pPr>
          </w:p>
          <w:p w:rsidR="007E19DB" w:rsidRPr="003501ED" w:rsidRDefault="007E19DB" w:rsidP="004B0D9F">
            <w:pPr>
              <w:cnfStyle w:val="000000100000" w:firstRow="0" w:lastRow="0" w:firstColumn="0" w:lastColumn="0" w:oddVBand="0" w:evenVBand="0" w:oddHBand="1" w:evenHBand="0" w:firstRowFirstColumn="0" w:firstRowLastColumn="0" w:lastRowFirstColumn="0" w:lastRowLastColumn="0"/>
            </w:pPr>
          </w:p>
          <w:p w:rsidR="007E19DB" w:rsidRPr="003501ED" w:rsidRDefault="007E19DB" w:rsidP="004B0D9F">
            <w:pPr>
              <w:cnfStyle w:val="000000100000" w:firstRow="0" w:lastRow="0" w:firstColumn="0" w:lastColumn="0" w:oddVBand="0" w:evenVBand="0" w:oddHBand="1" w:evenHBand="0" w:firstRowFirstColumn="0" w:firstRowLastColumn="0" w:lastRowFirstColumn="0" w:lastRowLastColumn="0"/>
            </w:pPr>
          </w:p>
          <w:p w:rsidR="007E19DB" w:rsidRPr="003501ED" w:rsidRDefault="007E19DB" w:rsidP="004B0D9F">
            <w:pPr>
              <w:cnfStyle w:val="000000100000" w:firstRow="0" w:lastRow="0" w:firstColumn="0" w:lastColumn="0" w:oddVBand="0" w:evenVBand="0" w:oddHBand="1" w:evenHBand="0" w:firstRowFirstColumn="0" w:firstRowLastColumn="0" w:lastRowFirstColumn="0" w:lastRowLastColumn="0"/>
            </w:pPr>
          </w:p>
          <w:p w:rsidR="007E19DB" w:rsidRPr="003501ED" w:rsidRDefault="007E19DB" w:rsidP="004B0D9F">
            <w:pPr>
              <w:cnfStyle w:val="000000100000" w:firstRow="0" w:lastRow="0" w:firstColumn="0" w:lastColumn="0" w:oddVBand="0" w:evenVBand="0" w:oddHBand="1" w:evenHBand="0" w:firstRowFirstColumn="0" w:firstRowLastColumn="0" w:lastRowFirstColumn="0" w:lastRowLastColumn="0"/>
            </w:pPr>
          </w:p>
          <w:p w:rsidR="007E19DB" w:rsidRPr="003501ED" w:rsidRDefault="007E19DB" w:rsidP="004B0D9F">
            <w:pPr>
              <w:cnfStyle w:val="000000100000" w:firstRow="0" w:lastRow="0" w:firstColumn="0" w:lastColumn="0" w:oddVBand="0" w:evenVBand="0" w:oddHBand="1" w:evenHBand="0" w:firstRowFirstColumn="0" w:firstRowLastColumn="0" w:lastRowFirstColumn="0" w:lastRowLastColumn="0"/>
            </w:pPr>
          </w:p>
          <w:p w:rsidR="007E19DB" w:rsidRPr="003501ED" w:rsidRDefault="007E19DB" w:rsidP="004B0D9F">
            <w:pPr>
              <w:cnfStyle w:val="000000100000" w:firstRow="0" w:lastRow="0" w:firstColumn="0" w:lastColumn="0" w:oddVBand="0" w:evenVBand="0" w:oddHBand="1" w:evenHBand="0" w:firstRowFirstColumn="0" w:firstRowLastColumn="0" w:lastRowFirstColumn="0" w:lastRowLastColumn="0"/>
            </w:pPr>
          </w:p>
          <w:p w:rsidR="007E19DB" w:rsidRPr="003501ED" w:rsidRDefault="007E19DB" w:rsidP="004B0D9F">
            <w:pPr>
              <w:cnfStyle w:val="000000100000" w:firstRow="0" w:lastRow="0" w:firstColumn="0" w:lastColumn="0" w:oddVBand="0" w:evenVBand="0" w:oddHBand="1" w:evenHBand="0" w:firstRowFirstColumn="0" w:firstRowLastColumn="0" w:lastRowFirstColumn="0" w:lastRowLastColumn="0"/>
            </w:pPr>
          </w:p>
          <w:p w:rsidR="007E19DB" w:rsidRPr="003501ED" w:rsidRDefault="007E19DB" w:rsidP="004B0D9F">
            <w:pPr>
              <w:cnfStyle w:val="000000100000" w:firstRow="0" w:lastRow="0" w:firstColumn="0" w:lastColumn="0" w:oddVBand="0" w:evenVBand="0" w:oddHBand="1" w:evenHBand="0" w:firstRowFirstColumn="0" w:firstRowLastColumn="0" w:lastRowFirstColumn="0" w:lastRowLastColumn="0"/>
            </w:pPr>
          </w:p>
          <w:p w:rsidR="007E19DB" w:rsidRPr="003501ED" w:rsidRDefault="007E19DB" w:rsidP="004B0D9F">
            <w:pPr>
              <w:cnfStyle w:val="000000100000" w:firstRow="0" w:lastRow="0" w:firstColumn="0" w:lastColumn="0" w:oddVBand="0" w:evenVBand="0" w:oddHBand="1" w:evenHBand="0" w:firstRowFirstColumn="0" w:firstRowLastColumn="0" w:lastRowFirstColumn="0" w:lastRowLastColumn="0"/>
            </w:pPr>
          </w:p>
          <w:p w:rsidR="007E19DB" w:rsidRPr="003501ED" w:rsidRDefault="007E19DB" w:rsidP="004B0D9F">
            <w:pPr>
              <w:cnfStyle w:val="000000100000" w:firstRow="0" w:lastRow="0" w:firstColumn="0" w:lastColumn="0" w:oddVBand="0" w:evenVBand="0" w:oddHBand="1" w:evenHBand="0" w:firstRowFirstColumn="0" w:firstRowLastColumn="0" w:lastRowFirstColumn="0" w:lastRowLastColumn="0"/>
            </w:pPr>
          </w:p>
          <w:p w:rsidR="007E19DB" w:rsidRPr="003501ED" w:rsidRDefault="007E19DB" w:rsidP="004B0D9F">
            <w:pPr>
              <w:cnfStyle w:val="000000100000" w:firstRow="0" w:lastRow="0" w:firstColumn="0" w:lastColumn="0" w:oddVBand="0" w:evenVBand="0" w:oddHBand="1" w:evenHBand="0" w:firstRowFirstColumn="0" w:firstRowLastColumn="0" w:lastRowFirstColumn="0" w:lastRowLastColumn="0"/>
            </w:pPr>
          </w:p>
          <w:p w:rsidR="007E19DB" w:rsidRPr="003501ED" w:rsidRDefault="007E19DB" w:rsidP="004B0D9F">
            <w:pPr>
              <w:cnfStyle w:val="000000100000" w:firstRow="0" w:lastRow="0" w:firstColumn="0" w:lastColumn="0" w:oddVBand="0" w:evenVBand="0" w:oddHBand="1" w:evenHBand="0" w:firstRowFirstColumn="0" w:firstRowLastColumn="0" w:lastRowFirstColumn="0" w:lastRowLastColumn="0"/>
            </w:pPr>
          </w:p>
          <w:p w:rsidR="007E19DB" w:rsidRPr="003501ED" w:rsidRDefault="007E19DB" w:rsidP="004B0D9F">
            <w:pPr>
              <w:cnfStyle w:val="000000100000" w:firstRow="0" w:lastRow="0" w:firstColumn="0" w:lastColumn="0" w:oddVBand="0" w:evenVBand="0" w:oddHBand="1" w:evenHBand="0" w:firstRowFirstColumn="0" w:firstRowLastColumn="0" w:lastRowFirstColumn="0" w:lastRowLastColumn="0"/>
            </w:pPr>
          </w:p>
          <w:p w:rsidR="007E19DB" w:rsidRPr="003501ED" w:rsidRDefault="007E19DB" w:rsidP="004B0D9F">
            <w:pPr>
              <w:cnfStyle w:val="000000100000" w:firstRow="0" w:lastRow="0" w:firstColumn="0" w:lastColumn="0" w:oddVBand="0" w:evenVBand="0" w:oddHBand="1" w:evenHBand="0" w:firstRowFirstColumn="0" w:firstRowLastColumn="0" w:lastRowFirstColumn="0" w:lastRowLastColumn="0"/>
            </w:pPr>
          </w:p>
          <w:p w:rsidR="007E19DB" w:rsidRPr="003501ED" w:rsidRDefault="007E19DB" w:rsidP="004B0D9F">
            <w:pPr>
              <w:cnfStyle w:val="000000100000" w:firstRow="0" w:lastRow="0" w:firstColumn="0" w:lastColumn="0" w:oddVBand="0" w:evenVBand="0" w:oddHBand="1" w:evenHBand="0" w:firstRowFirstColumn="0" w:firstRowLastColumn="0" w:lastRowFirstColumn="0" w:lastRowLastColumn="0"/>
            </w:pPr>
          </w:p>
          <w:p w:rsidR="007E19DB" w:rsidRPr="003501ED" w:rsidRDefault="007E19DB" w:rsidP="004B0D9F">
            <w:pPr>
              <w:cnfStyle w:val="000000100000" w:firstRow="0" w:lastRow="0" w:firstColumn="0" w:lastColumn="0" w:oddVBand="0" w:evenVBand="0" w:oddHBand="1" w:evenHBand="0" w:firstRowFirstColumn="0" w:firstRowLastColumn="0" w:lastRowFirstColumn="0" w:lastRowLastColumn="0"/>
            </w:pPr>
          </w:p>
          <w:p w:rsidR="007E19DB" w:rsidRPr="003501ED" w:rsidRDefault="007E19DB" w:rsidP="004B0D9F">
            <w:pPr>
              <w:cnfStyle w:val="000000100000" w:firstRow="0" w:lastRow="0" w:firstColumn="0" w:lastColumn="0" w:oddVBand="0" w:evenVBand="0" w:oddHBand="1" w:evenHBand="0" w:firstRowFirstColumn="0" w:firstRowLastColumn="0" w:lastRowFirstColumn="0" w:lastRowLastColumn="0"/>
            </w:pPr>
          </w:p>
          <w:p w:rsidR="007E19DB" w:rsidRPr="003501ED" w:rsidRDefault="007E19DB" w:rsidP="004B0D9F">
            <w:pPr>
              <w:cnfStyle w:val="000000100000" w:firstRow="0" w:lastRow="0" w:firstColumn="0" w:lastColumn="0" w:oddVBand="0" w:evenVBand="0" w:oddHBand="1" w:evenHBand="0" w:firstRowFirstColumn="0" w:firstRowLastColumn="0" w:lastRowFirstColumn="0" w:lastRowLastColumn="0"/>
            </w:pPr>
          </w:p>
          <w:p w:rsidR="007E19DB" w:rsidRPr="003501ED" w:rsidRDefault="007E19DB" w:rsidP="004B0D9F">
            <w:pPr>
              <w:cnfStyle w:val="000000100000" w:firstRow="0" w:lastRow="0" w:firstColumn="0" w:lastColumn="0" w:oddVBand="0" w:evenVBand="0" w:oddHBand="1" w:evenHBand="0" w:firstRowFirstColumn="0" w:firstRowLastColumn="0" w:lastRowFirstColumn="0" w:lastRowLastColumn="0"/>
            </w:pPr>
          </w:p>
          <w:p w:rsidR="007E19DB" w:rsidRPr="003501ED" w:rsidRDefault="007E19DB" w:rsidP="004B0D9F">
            <w:pPr>
              <w:cnfStyle w:val="000000100000" w:firstRow="0" w:lastRow="0" w:firstColumn="0" w:lastColumn="0" w:oddVBand="0" w:evenVBand="0" w:oddHBand="1" w:evenHBand="0" w:firstRowFirstColumn="0" w:firstRowLastColumn="0" w:lastRowFirstColumn="0" w:lastRowLastColumn="0"/>
            </w:pPr>
          </w:p>
          <w:p w:rsidR="007E19DB" w:rsidRPr="003501ED" w:rsidRDefault="007E19DB" w:rsidP="004B0D9F">
            <w:pPr>
              <w:cnfStyle w:val="000000100000" w:firstRow="0" w:lastRow="0" w:firstColumn="0" w:lastColumn="0" w:oddVBand="0" w:evenVBand="0" w:oddHBand="1" w:evenHBand="0" w:firstRowFirstColumn="0" w:firstRowLastColumn="0" w:lastRowFirstColumn="0" w:lastRowLastColumn="0"/>
            </w:pPr>
          </w:p>
          <w:p w:rsidR="007E19DB" w:rsidRPr="003501ED" w:rsidRDefault="007E19DB" w:rsidP="004B0D9F">
            <w:pPr>
              <w:cnfStyle w:val="000000100000" w:firstRow="0" w:lastRow="0" w:firstColumn="0" w:lastColumn="0" w:oddVBand="0" w:evenVBand="0" w:oddHBand="1" w:evenHBand="0" w:firstRowFirstColumn="0" w:firstRowLastColumn="0" w:lastRowFirstColumn="0" w:lastRowLastColumn="0"/>
            </w:pPr>
          </w:p>
          <w:p w:rsidR="007E19DB" w:rsidRPr="003501ED" w:rsidRDefault="007E19DB" w:rsidP="004B0D9F">
            <w:pPr>
              <w:cnfStyle w:val="000000100000" w:firstRow="0" w:lastRow="0" w:firstColumn="0" w:lastColumn="0" w:oddVBand="0" w:evenVBand="0" w:oddHBand="1" w:evenHBand="0" w:firstRowFirstColumn="0" w:firstRowLastColumn="0" w:lastRowFirstColumn="0" w:lastRowLastColumn="0"/>
            </w:pPr>
          </w:p>
          <w:p w:rsidR="007E19DB" w:rsidRPr="003501ED" w:rsidRDefault="007E19DB" w:rsidP="004B0D9F">
            <w:pPr>
              <w:cnfStyle w:val="000000100000" w:firstRow="0" w:lastRow="0" w:firstColumn="0" w:lastColumn="0" w:oddVBand="0" w:evenVBand="0" w:oddHBand="1" w:evenHBand="0" w:firstRowFirstColumn="0" w:firstRowLastColumn="0" w:lastRowFirstColumn="0" w:lastRowLastColumn="0"/>
            </w:pPr>
          </w:p>
          <w:p w:rsidR="007E19DB" w:rsidRPr="003501ED" w:rsidRDefault="007E19DB" w:rsidP="004B0D9F">
            <w:pPr>
              <w:cnfStyle w:val="000000100000" w:firstRow="0" w:lastRow="0" w:firstColumn="0" w:lastColumn="0" w:oddVBand="0" w:evenVBand="0" w:oddHBand="1" w:evenHBand="0" w:firstRowFirstColumn="0" w:firstRowLastColumn="0" w:lastRowFirstColumn="0" w:lastRowLastColumn="0"/>
            </w:pPr>
          </w:p>
          <w:p w:rsidR="007E19DB" w:rsidRPr="003501ED" w:rsidRDefault="007E19DB" w:rsidP="004B0D9F">
            <w:pPr>
              <w:cnfStyle w:val="000000100000" w:firstRow="0" w:lastRow="0" w:firstColumn="0" w:lastColumn="0" w:oddVBand="0" w:evenVBand="0" w:oddHBand="1" w:evenHBand="0" w:firstRowFirstColumn="0" w:firstRowLastColumn="0" w:lastRowFirstColumn="0" w:lastRowLastColumn="0"/>
            </w:pPr>
          </w:p>
          <w:p w:rsidR="007E19DB" w:rsidRPr="003501ED" w:rsidRDefault="007E19DB" w:rsidP="004B0D9F">
            <w:pPr>
              <w:cnfStyle w:val="000000100000" w:firstRow="0" w:lastRow="0" w:firstColumn="0" w:lastColumn="0" w:oddVBand="0" w:evenVBand="0" w:oddHBand="1" w:evenHBand="0" w:firstRowFirstColumn="0" w:firstRowLastColumn="0" w:lastRowFirstColumn="0" w:lastRowLastColumn="0"/>
            </w:pPr>
          </w:p>
          <w:p w:rsidR="007E19DB" w:rsidRPr="003501ED" w:rsidRDefault="007E19DB" w:rsidP="004B0D9F">
            <w:pPr>
              <w:cnfStyle w:val="000000100000" w:firstRow="0" w:lastRow="0" w:firstColumn="0" w:lastColumn="0" w:oddVBand="0" w:evenVBand="0" w:oddHBand="1" w:evenHBand="0" w:firstRowFirstColumn="0" w:firstRowLastColumn="0" w:lastRowFirstColumn="0" w:lastRowLastColumn="0"/>
            </w:pPr>
          </w:p>
          <w:p w:rsidR="007E19DB" w:rsidRPr="003501ED" w:rsidRDefault="007E19DB" w:rsidP="004B0D9F">
            <w:pPr>
              <w:cnfStyle w:val="000000100000" w:firstRow="0" w:lastRow="0" w:firstColumn="0" w:lastColumn="0" w:oddVBand="0" w:evenVBand="0" w:oddHBand="1" w:evenHBand="0" w:firstRowFirstColumn="0" w:firstRowLastColumn="0" w:lastRowFirstColumn="0" w:lastRowLastColumn="0"/>
            </w:pPr>
          </w:p>
          <w:p w:rsidR="007E19DB" w:rsidRPr="003501ED" w:rsidRDefault="007E19DB" w:rsidP="004B0D9F">
            <w:pPr>
              <w:cnfStyle w:val="000000100000" w:firstRow="0" w:lastRow="0" w:firstColumn="0" w:lastColumn="0" w:oddVBand="0" w:evenVBand="0" w:oddHBand="1" w:evenHBand="0" w:firstRowFirstColumn="0" w:firstRowLastColumn="0" w:lastRowFirstColumn="0" w:lastRowLastColumn="0"/>
            </w:pPr>
          </w:p>
          <w:p w:rsidR="007E19DB" w:rsidRPr="003501ED" w:rsidRDefault="007E19DB" w:rsidP="004B0D9F">
            <w:pPr>
              <w:cnfStyle w:val="000000100000" w:firstRow="0" w:lastRow="0" w:firstColumn="0" w:lastColumn="0" w:oddVBand="0" w:evenVBand="0" w:oddHBand="1" w:evenHBand="0" w:firstRowFirstColumn="0" w:firstRowLastColumn="0" w:lastRowFirstColumn="0" w:lastRowLastColumn="0"/>
            </w:pPr>
          </w:p>
          <w:p w:rsidR="007E19DB" w:rsidRPr="003501ED" w:rsidRDefault="007E19DB" w:rsidP="004B0D9F">
            <w:pPr>
              <w:cnfStyle w:val="000000100000" w:firstRow="0" w:lastRow="0" w:firstColumn="0" w:lastColumn="0" w:oddVBand="0" w:evenVBand="0" w:oddHBand="1" w:evenHBand="0" w:firstRowFirstColumn="0" w:firstRowLastColumn="0" w:lastRowFirstColumn="0" w:lastRowLastColumn="0"/>
            </w:pPr>
          </w:p>
          <w:p w:rsidR="007E19DB" w:rsidRPr="003501ED" w:rsidRDefault="007E19DB" w:rsidP="004B0D9F">
            <w:pPr>
              <w:cnfStyle w:val="000000100000" w:firstRow="0" w:lastRow="0" w:firstColumn="0" w:lastColumn="0" w:oddVBand="0" w:evenVBand="0" w:oddHBand="1" w:evenHBand="0" w:firstRowFirstColumn="0" w:firstRowLastColumn="0" w:lastRowFirstColumn="0" w:lastRowLastColumn="0"/>
            </w:pPr>
          </w:p>
          <w:p w:rsidR="007E19DB" w:rsidRPr="003501ED" w:rsidRDefault="007E19DB" w:rsidP="004B0D9F">
            <w:pPr>
              <w:cnfStyle w:val="000000100000" w:firstRow="0" w:lastRow="0" w:firstColumn="0" w:lastColumn="0" w:oddVBand="0" w:evenVBand="0" w:oddHBand="1" w:evenHBand="0" w:firstRowFirstColumn="0" w:firstRowLastColumn="0" w:lastRowFirstColumn="0" w:lastRowLastColumn="0"/>
            </w:pPr>
            <w:r w:rsidRPr="006F5A3B">
              <w:t>Tatt til følge</w:t>
            </w:r>
          </w:p>
        </w:tc>
      </w:tr>
    </w:tbl>
    <w:p w:rsidR="007E19DB" w:rsidRPr="003501ED" w:rsidRDefault="007E19DB" w:rsidP="007E19DB"/>
    <w:p w:rsidR="007E19DB" w:rsidRPr="003501ED" w:rsidRDefault="007E19DB" w:rsidP="007E19DB">
      <w:pPr>
        <w:spacing w:after="120"/>
        <w:rPr>
          <w:b/>
          <w:u w:val="single"/>
        </w:rPr>
      </w:pPr>
      <w:r w:rsidRPr="003501ED">
        <w:rPr>
          <w:b/>
          <w:u w:val="single"/>
        </w:rPr>
        <w:t>Følgende instanser hadde ingen merknader:</w:t>
      </w:r>
    </w:p>
    <w:p w:rsidR="007E19DB" w:rsidRPr="003501ED" w:rsidRDefault="007E19DB" w:rsidP="007E19DB">
      <w:pPr>
        <w:spacing w:after="120"/>
      </w:pPr>
      <w:r w:rsidRPr="003501ED">
        <w:t>Det Norske Veritas</w:t>
      </w:r>
    </w:p>
    <w:p w:rsidR="007E19DB" w:rsidRPr="003501ED" w:rsidRDefault="007E19DB" w:rsidP="007E19DB">
      <w:pPr>
        <w:spacing w:after="120"/>
      </w:pPr>
      <w:r w:rsidRPr="003501ED">
        <w:t>Fiskeri og kystdepartementet</w:t>
      </w:r>
    </w:p>
    <w:p w:rsidR="007E19DB" w:rsidRPr="003501ED" w:rsidRDefault="007E19DB" w:rsidP="007E19DB">
      <w:pPr>
        <w:spacing w:after="120"/>
      </w:pPr>
      <w:r w:rsidRPr="003501ED">
        <w:t>Arbeidsdepartementet</w:t>
      </w:r>
    </w:p>
    <w:p w:rsidR="007E19DB" w:rsidRPr="003501ED" w:rsidRDefault="007E19DB" w:rsidP="007E19DB">
      <w:pPr>
        <w:spacing w:after="120"/>
      </w:pPr>
      <w:r w:rsidRPr="003501ED">
        <w:t>Post- og teletilsynet</w:t>
      </w:r>
    </w:p>
    <w:p w:rsidR="007E19DB" w:rsidRPr="003501ED" w:rsidRDefault="007E19DB" w:rsidP="007E19DB">
      <w:pPr>
        <w:spacing w:after="120"/>
      </w:pPr>
      <w:r w:rsidRPr="003501ED">
        <w:t>Havforskningsinstituttet</w:t>
      </w:r>
    </w:p>
    <w:p w:rsidR="007E19DB" w:rsidRPr="003501ED" w:rsidRDefault="007E19DB" w:rsidP="007E19DB">
      <w:pPr>
        <w:spacing w:after="120"/>
      </w:pPr>
      <w:r w:rsidRPr="003501ED">
        <w:t>Fiskeridirektoratet</w:t>
      </w:r>
    </w:p>
    <w:p w:rsidR="007E19DB" w:rsidRPr="003501ED" w:rsidRDefault="007E19DB" w:rsidP="007E19DB">
      <w:pPr>
        <w:spacing w:after="120"/>
      </w:pPr>
      <w:r w:rsidRPr="003501ED">
        <w:t>Industri Energi</w:t>
      </w:r>
    </w:p>
    <w:p w:rsidR="007E19DB" w:rsidRPr="003501ED" w:rsidRDefault="007E19DB" w:rsidP="007E19DB">
      <w:pPr>
        <w:spacing w:after="120"/>
      </w:pPr>
      <w:r w:rsidRPr="003501ED">
        <w:t>Direktoratet for samfunnssikkerhet og beredskap</w:t>
      </w:r>
    </w:p>
    <w:p w:rsidR="007E19DB" w:rsidRPr="003501ED" w:rsidRDefault="007E19DB" w:rsidP="007E19DB">
      <w:pPr>
        <w:spacing w:after="120"/>
      </w:pPr>
      <w:r w:rsidRPr="003501ED">
        <w:t>Samferdselsdepartementet</w:t>
      </w:r>
    </w:p>
    <w:p w:rsidR="007E19DB" w:rsidRPr="003501ED" w:rsidRDefault="007E19DB" w:rsidP="007E19DB">
      <w:pPr>
        <w:spacing w:after="120"/>
      </w:pPr>
      <w:r w:rsidRPr="003501ED">
        <w:t>Toll og avgiftsdirektoratet</w:t>
      </w:r>
    </w:p>
    <w:p w:rsidR="007E19DB" w:rsidRPr="003501ED" w:rsidRDefault="007E19DB" w:rsidP="007E19DB">
      <w:pPr>
        <w:spacing w:after="120"/>
      </w:pPr>
      <w:r w:rsidRPr="003501ED">
        <w:t>Petroleumstilsynet</w:t>
      </w:r>
    </w:p>
    <w:p w:rsidR="007E19DB" w:rsidRPr="003501ED" w:rsidRDefault="007E19DB" w:rsidP="007E19DB">
      <w:pPr>
        <w:spacing w:after="120"/>
      </w:pPr>
      <w:r w:rsidRPr="003501ED">
        <w:t>Kystverket</w:t>
      </w:r>
    </w:p>
    <w:p w:rsidR="007E19DB" w:rsidRPr="003501ED" w:rsidRDefault="007E19DB" w:rsidP="007E19DB">
      <w:pPr>
        <w:spacing w:after="120"/>
      </w:pPr>
      <w:r w:rsidRPr="003501ED">
        <w:t>De Sjøkyndiges Forbund</w:t>
      </w:r>
    </w:p>
    <w:p w:rsidR="007E19DB" w:rsidRPr="003501ED" w:rsidRDefault="007E19DB" w:rsidP="007E19DB">
      <w:pPr>
        <w:spacing w:after="120"/>
      </w:pPr>
      <w:r w:rsidRPr="003501ED">
        <w:t>Justis- og beredskapsdepartementet</w:t>
      </w:r>
    </w:p>
    <w:p w:rsidR="007E19DB" w:rsidRPr="003501ED" w:rsidRDefault="007E19DB" w:rsidP="007E19DB">
      <w:pPr>
        <w:spacing w:after="120"/>
      </w:pPr>
      <w:r w:rsidRPr="003501ED">
        <w:t>Utenriksdepartementet</w:t>
      </w:r>
    </w:p>
    <w:p w:rsidR="007E19DB" w:rsidRPr="003501ED" w:rsidRDefault="007E19DB" w:rsidP="007E19DB">
      <w:pPr>
        <w:spacing w:after="120"/>
      </w:pPr>
      <w:r w:rsidRPr="003501ED">
        <w:t>Forsvarsdepartementet</w:t>
      </w:r>
    </w:p>
    <w:p w:rsidR="007E19DB" w:rsidRPr="003501ED" w:rsidRDefault="007E19DB" w:rsidP="007E19DB">
      <w:pPr>
        <w:spacing w:after="120"/>
      </w:pPr>
      <w:r w:rsidRPr="003501ED">
        <w:lastRenderedPageBreak/>
        <w:t>Miljøverndepartementet</w:t>
      </w:r>
    </w:p>
    <w:p w:rsidR="007E19DB" w:rsidRPr="00520136" w:rsidRDefault="007E19DB" w:rsidP="007E19DB">
      <w:pPr>
        <w:tabs>
          <w:tab w:val="left" w:pos="7959"/>
        </w:tabs>
      </w:pPr>
    </w:p>
    <w:p w:rsidR="0058185D" w:rsidRDefault="007E19DB"/>
    <w:sectPr w:rsidR="0058185D" w:rsidSect="007E19DB">
      <w:pgSz w:w="11907" w:h="16840" w:code="9"/>
      <w:pgMar w:top="397" w:right="1134" w:bottom="851" w:left="1304" w:header="567" w:footer="397" w:gutter="0"/>
      <w:cols w:space="708"/>
      <w:formProt w:val="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95">
    <w:panose1 w:val="00000000000000000000"/>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B1790"/>
    <w:multiLevelType w:val="multilevel"/>
    <w:tmpl w:val="E8AEEDEA"/>
    <w:styleLink w:val="Stil1"/>
    <w:lvl w:ilvl="0">
      <w:start w:val="1"/>
      <w:numFmt w:val="lowerLetter"/>
      <w:lvlText w:val="%1)"/>
      <w:lvlJc w:val="left"/>
      <w:pPr>
        <w:ind w:left="360" w:hanging="360"/>
      </w:pPr>
      <w:rPr>
        <w:rFonts w:ascii="Times New Roman" w:eastAsia="Times New Roman" w:hAnsi="Times New Roman" w:cs="Times New Roman"/>
        <w:i w:val="0"/>
        <w:sz w:val="23"/>
      </w:rPr>
    </w:lvl>
    <w:lvl w:ilvl="1">
      <w:start w:val="1"/>
      <w:numFmt w:val="decimal"/>
      <w:lvlText w:val="%2."/>
      <w:lvlJc w:val="left"/>
      <w:pPr>
        <w:ind w:left="720" w:hanging="360"/>
      </w:pPr>
      <w:rPr>
        <w:rFonts w:ascii="Times New Roman" w:eastAsia="Times New Roman" w:hAnsi="Times New Roman" w:cs="Times New Roman"/>
        <w:b w:val="0"/>
        <w:i w:val="0"/>
      </w:rPr>
    </w:lvl>
    <w:lvl w:ilvl="2">
      <w:start w:val="1"/>
      <w:numFmt w:val="lowerRoman"/>
      <w:lvlText w:val="%3)"/>
      <w:lvlJc w:val="left"/>
      <w:pPr>
        <w:ind w:left="1080" w:hanging="360"/>
      </w:pPr>
      <w:rPr>
        <w:b w:val="0"/>
        <w:i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63426F0"/>
    <w:multiLevelType w:val="hybridMultilevel"/>
    <w:tmpl w:val="286C3718"/>
    <w:lvl w:ilvl="0" w:tplc="04140017">
      <w:start w:val="1"/>
      <w:numFmt w:val="lowerLetter"/>
      <w:lvlText w:val="%1)"/>
      <w:lvlJc w:val="left"/>
      <w:pPr>
        <w:ind w:left="558"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nsid w:val="11701D9F"/>
    <w:multiLevelType w:val="hybridMultilevel"/>
    <w:tmpl w:val="FA2AA0E4"/>
    <w:lvl w:ilvl="0" w:tplc="4CCEFD0A">
      <w:start w:val="1"/>
      <w:numFmt w:val="lowerLetter"/>
      <w:lvlText w:val="%1)"/>
      <w:lvlJc w:val="left"/>
      <w:pPr>
        <w:ind w:left="1068" w:hanging="360"/>
      </w:pPr>
      <w:rPr>
        <w:rFonts w:hint="default"/>
      </w:rPr>
    </w:lvl>
    <w:lvl w:ilvl="1" w:tplc="04140019" w:tentative="1">
      <w:start w:val="1"/>
      <w:numFmt w:val="lowerLetter"/>
      <w:lvlText w:val="%2."/>
      <w:lvlJc w:val="left"/>
      <w:pPr>
        <w:ind w:left="1788" w:hanging="360"/>
      </w:p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abstractNum w:abstractNumId="3">
    <w:nsid w:val="1A944FE1"/>
    <w:multiLevelType w:val="hybridMultilevel"/>
    <w:tmpl w:val="47F6367A"/>
    <w:lvl w:ilvl="0" w:tplc="04140017">
      <w:start w:val="1"/>
      <w:numFmt w:val="lowerLetter"/>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4">
    <w:nsid w:val="3E5757F9"/>
    <w:multiLevelType w:val="hybridMultilevel"/>
    <w:tmpl w:val="EBEEB652"/>
    <w:lvl w:ilvl="0" w:tplc="B6DCA0A8">
      <w:start w:val="1"/>
      <w:numFmt w:val="lowerLetter"/>
      <w:lvlText w:val="%1)"/>
      <w:lvlJc w:val="left"/>
      <w:pPr>
        <w:ind w:left="1776" w:hanging="360"/>
      </w:pPr>
    </w:lvl>
    <w:lvl w:ilvl="1" w:tplc="04140019">
      <w:start w:val="1"/>
      <w:numFmt w:val="lowerLetter"/>
      <w:lvlText w:val="%2."/>
      <w:lvlJc w:val="left"/>
      <w:pPr>
        <w:ind w:left="2496" w:hanging="360"/>
      </w:pPr>
    </w:lvl>
    <w:lvl w:ilvl="2" w:tplc="0414001B">
      <w:start w:val="1"/>
      <w:numFmt w:val="lowerRoman"/>
      <w:lvlText w:val="%3."/>
      <w:lvlJc w:val="right"/>
      <w:pPr>
        <w:ind w:left="3216" w:hanging="180"/>
      </w:pPr>
    </w:lvl>
    <w:lvl w:ilvl="3" w:tplc="0414000F">
      <w:start w:val="1"/>
      <w:numFmt w:val="decimal"/>
      <w:lvlText w:val="%4."/>
      <w:lvlJc w:val="left"/>
      <w:pPr>
        <w:ind w:left="3936" w:hanging="360"/>
      </w:pPr>
    </w:lvl>
    <w:lvl w:ilvl="4" w:tplc="04140019">
      <w:start w:val="1"/>
      <w:numFmt w:val="lowerLetter"/>
      <w:lvlText w:val="%5."/>
      <w:lvlJc w:val="left"/>
      <w:pPr>
        <w:ind w:left="4656" w:hanging="360"/>
      </w:pPr>
    </w:lvl>
    <w:lvl w:ilvl="5" w:tplc="0414001B">
      <w:start w:val="1"/>
      <w:numFmt w:val="lowerRoman"/>
      <w:lvlText w:val="%6."/>
      <w:lvlJc w:val="right"/>
      <w:pPr>
        <w:ind w:left="5376" w:hanging="180"/>
      </w:pPr>
    </w:lvl>
    <w:lvl w:ilvl="6" w:tplc="0414000F">
      <w:start w:val="1"/>
      <w:numFmt w:val="decimal"/>
      <w:lvlText w:val="%7."/>
      <w:lvlJc w:val="left"/>
      <w:pPr>
        <w:ind w:left="6096" w:hanging="360"/>
      </w:pPr>
    </w:lvl>
    <w:lvl w:ilvl="7" w:tplc="04140019">
      <w:start w:val="1"/>
      <w:numFmt w:val="lowerLetter"/>
      <w:lvlText w:val="%8."/>
      <w:lvlJc w:val="left"/>
      <w:pPr>
        <w:ind w:left="6816" w:hanging="360"/>
      </w:pPr>
    </w:lvl>
    <w:lvl w:ilvl="8" w:tplc="0414001B">
      <w:start w:val="1"/>
      <w:numFmt w:val="lowerRoman"/>
      <w:lvlText w:val="%9."/>
      <w:lvlJc w:val="right"/>
      <w:pPr>
        <w:ind w:left="7536" w:hanging="180"/>
      </w:pPr>
    </w:lvl>
  </w:abstractNum>
  <w:abstractNum w:abstractNumId="5">
    <w:nsid w:val="5C417FCC"/>
    <w:multiLevelType w:val="multilevel"/>
    <w:tmpl w:val="E8AEEDEA"/>
    <w:numStyleLink w:val="Stil1"/>
  </w:abstractNum>
  <w:num w:numId="1">
    <w:abstractNumId w:val="1"/>
  </w:num>
  <w:num w:numId="2">
    <w:abstractNumId w:val="0"/>
  </w:num>
  <w:num w:numId="3">
    <w:abstractNumId w:val="5"/>
  </w:num>
  <w:num w:numId="4">
    <w:abstractNumId w:val="3"/>
  </w:num>
  <w:num w:numId="5">
    <w:abstractNumId w:val="2"/>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7"/>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9DB"/>
    <w:rsid w:val="0076089F"/>
    <w:rsid w:val="007E19DB"/>
    <w:rsid w:val="00A67EE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19DB"/>
    <w:pPr>
      <w:spacing w:after="0" w:line="240" w:lineRule="auto"/>
    </w:pPr>
    <w:rPr>
      <w:rFonts w:ascii="Times New Roman" w:eastAsia="Times New Roman" w:hAnsi="Times New Roman" w:cs="Times New Roman"/>
      <w:sz w:val="24"/>
      <w:szCs w:val="20"/>
      <w:lang w:eastAsia="nb-NO"/>
    </w:rPr>
  </w:style>
  <w:style w:type="paragraph" w:styleId="Overskrift1">
    <w:name w:val="heading 1"/>
    <w:basedOn w:val="Normal"/>
    <w:next w:val="Normal"/>
    <w:link w:val="Overskrift1Tegn"/>
    <w:qFormat/>
    <w:rsid w:val="007E19DB"/>
    <w:pPr>
      <w:keepNext/>
      <w:spacing w:before="240" w:after="240"/>
      <w:outlineLvl w:val="0"/>
    </w:pPr>
    <w:rPr>
      <w:rFonts w:ascii="Arial" w:hAnsi="Arial"/>
      <w:b/>
      <w:kern w:val="28"/>
      <w:sz w:val="3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7E19DB"/>
    <w:rPr>
      <w:rFonts w:ascii="Arial" w:eastAsia="Times New Roman" w:hAnsi="Arial" w:cs="Times New Roman"/>
      <w:b/>
      <w:kern w:val="28"/>
      <w:sz w:val="36"/>
      <w:szCs w:val="20"/>
      <w:lang w:eastAsia="nb-NO"/>
    </w:rPr>
  </w:style>
  <w:style w:type="paragraph" w:styleId="Listeavsnitt">
    <w:name w:val="List Paragraph"/>
    <w:basedOn w:val="Normal"/>
    <w:uiPriority w:val="34"/>
    <w:qFormat/>
    <w:rsid w:val="007E19DB"/>
    <w:pPr>
      <w:ind w:left="720"/>
      <w:contextualSpacing/>
    </w:pPr>
  </w:style>
  <w:style w:type="numbering" w:customStyle="1" w:styleId="Stil1">
    <w:name w:val="Stil1"/>
    <w:uiPriority w:val="99"/>
    <w:rsid w:val="007E19DB"/>
    <w:pPr>
      <w:numPr>
        <w:numId w:val="2"/>
      </w:numPr>
    </w:pPr>
  </w:style>
  <w:style w:type="table" w:styleId="Lystrutenett-uthevingsfarge1">
    <w:name w:val="Light Grid Accent 1"/>
    <w:basedOn w:val="Vanligtabell"/>
    <w:uiPriority w:val="62"/>
    <w:rsid w:val="007E19DB"/>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19DB"/>
    <w:pPr>
      <w:spacing w:after="0" w:line="240" w:lineRule="auto"/>
    </w:pPr>
    <w:rPr>
      <w:rFonts w:ascii="Times New Roman" w:eastAsia="Times New Roman" w:hAnsi="Times New Roman" w:cs="Times New Roman"/>
      <w:sz w:val="24"/>
      <w:szCs w:val="20"/>
      <w:lang w:eastAsia="nb-NO"/>
    </w:rPr>
  </w:style>
  <w:style w:type="paragraph" w:styleId="Overskrift1">
    <w:name w:val="heading 1"/>
    <w:basedOn w:val="Normal"/>
    <w:next w:val="Normal"/>
    <w:link w:val="Overskrift1Tegn"/>
    <w:qFormat/>
    <w:rsid w:val="007E19DB"/>
    <w:pPr>
      <w:keepNext/>
      <w:spacing w:before="240" w:after="240"/>
      <w:outlineLvl w:val="0"/>
    </w:pPr>
    <w:rPr>
      <w:rFonts w:ascii="Arial" w:hAnsi="Arial"/>
      <w:b/>
      <w:kern w:val="28"/>
      <w:sz w:val="3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7E19DB"/>
    <w:rPr>
      <w:rFonts w:ascii="Arial" w:eastAsia="Times New Roman" w:hAnsi="Arial" w:cs="Times New Roman"/>
      <w:b/>
      <w:kern w:val="28"/>
      <w:sz w:val="36"/>
      <w:szCs w:val="20"/>
      <w:lang w:eastAsia="nb-NO"/>
    </w:rPr>
  </w:style>
  <w:style w:type="paragraph" w:styleId="Listeavsnitt">
    <w:name w:val="List Paragraph"/>
    <w:basedOn w:val="Normal"/>
    <w:uiPriority w:val="34"/>
    <w:qFormat/>
    <w:rsid w:val="007E19DB"/>
    <w:pPr>
      <w:ind w:left="720"/>
      <w:contextualSpacing/>
    </w:pPr>
  </w:style>
  <w:style w:type="numbering" w:customStyle="1" w:styleId="Stil1">
    <w:name w:val="Stil1"/>
    <w:uiPriority w:val="99"/>
    <w:rsid w:val="007E19DB"/>
    <w:pPr>
      <w:numPr>
        <w:numId w:val="2"/>
      </w:numPr>
    </w:pPr>
  </w:style>
  <w:style w:type="table" w:styleId="Lystrutenett-uthevingsfarge1">
    <w:name w:val="Light Grid Accent 1"/>
    <w:basedOn w:val="Vanligtabell"/>
    <w:uiPriority w:val="62"/>
    <w:rsid w:val="007E19DB"/>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2151</Words>
  <Characters>12396</Characters>
  <Application>Microsoft Office Word</Application>
  <DocSecurity>0</DocSecurity>
  <Lines>344</Lines>
  <Paragraphs>62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14485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Hedda Grip Vikse</dc:creator>
  <cp:lastModifiedBy>Hedda Grip Vikse</cp:lastModifiedBy>
  <cp:revision>1</cp:revision>
  <dcterms:created xsi:type="dcterms:W3CDTF">2013-08-01T11:10:00Z</dcterms:created>
  <dcterms:modified xsi:type="dcterms:W3CDTF">2013-08-01T11:12:00Z</dcterms:modified>
</cp:coreProperties>
</file>