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260"/>
        <w:gridCol w:w="3255"/>
      </w:tblGrid>
      <w:tr w:rsidR="00FD484F" w14:paraId="0EC28E40" w14:textId="77777777" w:rsidTr="00CE7A61">
        <w:tc>
          <w:tcPr>
            <w:tcW w:w="9062" w:type="dxa"/>
            <w:gridSpan w:val="4"/>
          </w:tcPr>
          <w:p w14:paraId="2226D8E1" w14:textId="7F1B9C31" w:rsidR="00FD484F" w:rsidRDefault="00FD484F">
            <w:r>
              <w:t xml:space="preserve">Høringsinnspill – forslag om endringer i forskrift om kvalifikasjoner og sertifikater for sjøfolk for å sikre korrekt gjennomføring av direktiv 2008/106/EF og STCW (sak 2023/60498) </w:t>
            </w:r>
          </w:p>
          <w:p w14:paraId="3C11B7BC" w14:textId="1EAE5CB2" w:rsidR="00FD484F" w:rsidRDefault="00FD484F"/>
        </w:tc>
      </w:tr>
      <w:tr w:rsidR="00FD484F" w14:paraId="19DDBA76" w14:textId="77777777" w:rsidTr="00CE7A61">
        <w:tc>
          <w:tcPr>
            <w:tcW w:w="9062" w:type="dxa"/>
            <w:gridSpan w:val="4"/>
          </w:tcPr>
          <w:p w14:paraId="089FBA8E" w14:textId="09AFB47B" w:rsidR="00FD484F" w:rsidRDefault="00FD484F">
            <w:r>
              <w:t>Sjøfartsdirektoratet har mottatt 1</w:t>
            </w:r>
            <w:r w:rsidR="00CE7A61">
              <w:t>0</w:t>
            </w:r>
            <w:r>
              <w:t xml:space="preserve"> høringsinnspill</w:t>
            </w:r>
            <w:r w:rsidR="001D35DC">
              <w:t xml:space="preserve"> til forskriftsforslaget</w:t>
            </w:r>
            <w:r>
              <w:t>. Høringsinnspillene er tatt inn nedenfor, i en noe forkortet form.</w:t>
            </w:r>
          </w:p>
          <w:p w14:paraId="0421A5AE" w14:textId="475AFCC4" w:rsidR="00FD484F" w:rsidRDefault="00FD484F"/>
        </w:tc>
      </w:tr>
      <w:tr w:rsidR="00B504C1" w14:paraId="0CD5B7D3" w14:textId="77777777" w:rsidTr="00AE45C8">
        <w:tc>
          <w:tcPr>
            <w:tcW w:w="2547" w:type="dxa"/>
            <w:gridSpan w:val="2"/>
          </w:tcPr>
          <w:p w14:paraId="5EAED7DF" w14:textId="1E59236B" w:rsidR="00FD484F" w:rsidRDefault="00FD484F">
            <w:r>
              <w:t>Fra</w:t>
            </w:r>
          </w:p>
        </w:tc>
        <w:tc>
          <w:tcPr>
            <w:tcW w:w="3260" w:type="dxa"/>
          </w:tcPr>
          <w:p w14:paraId="749C713B" w14:textId="18E2FB99" w:rsidR="00FD484F" w:rsidRDefault="00FD484F">
            <w:r>
              <w:t xml:space="preserve">Høringsinnspill </w:t>
            </w:r>
          </w:p>
        </w:tc>
        <w:tc>
          <w:tcPr>
            <w:tcW w:w="3255" w:type="dxa"/>
          </w:tcPr>
          <w:p w14:paraId="30B0E1DD" w14:textId="116D9C1B" w:rsidR="00FD484F" w:rsidRDefault="00FD484F">
            <w:r>
              <w:t>Sjøfartsdirektoratets vurdering</w:t>
            </w:r>
          </w:p>
        </w:tc>
      </w:tr>
      <w:tr w:rsidR="00921C5C" w14:paraId="74E80AEB" w14:textId="77777777" w:rsidTr="00AE45C8">
        <w:tc>
          <w:tcPr>
            <w:tcW w:w="562" w:type="dxa"/>
          </w:tcPr>
          <w:p w14:paraId="030A93E9" w14:textId="00B03495" w:rsidR="00FD484F" w:rsidRDefault="006B13AD">
            <w:r>
              <w:t xml:space="preserve"> </w:t>
            </w:r>
            <w:r w:rsidR="00FD484F">
              <w:t>1</w:t>
            </w:r>
          </w:p>
        </w:tc>
        <w:tc>
          <w:tcPr>
            <w:tcW w:w="1985" w:type="dxa"/>
          </w:tcPr>
          <w:p w14:paraId="58D7F6C1" w14:textId="1E32198A" w:rsidR="00FD484F" w:rsidRDefault="00FD484F">
            <w:r>
              <w:t xml:space="preserve">Advokatforeningen </w:t>
            </w:r>
          </w:p>
        </w:tc>
        <w:tc>
          <w:tcPr>
            <w:tcW w:w="3260" w:type="dxa"/>
          </w:tcPr>
          <w:p w14:paraId="70222B38" w14:textId="7A5EE93D" w:rsidR="00FD484F" w:rsidRDefault="003529FA" w:rsidP="00FE7528">
            <w:r>
              <w:t>Advokatforeningen har ingen merknader til forslaget.</w:t>
            </w:r>
          </w:p>
        </w:tc>
        <w:tc>
          <w:tcPr>
            <w:tcW w:w="3255" w:type="dxa"/>
          </w:tcPr>
          <w:p w14:paraId="050E7D0C" w14:textId="77777777" w:rsidR="003529FA" w:rsidRDefault="003529FA" w:rsidP="003529FA">
            <w:r>
              <w:t>Innspillet er notert.</w:t>
            </w:r>
          </w:p>
          <w:p w14:paraId="69E0ECC4" w14:textId="3F854C16" w:rsidR="00FD484F" w:rsidRPr="001250D9" w:rsidRDefault="00FD484F">
            <w:pPr>
              <w:rPr>
                <w:u w:val="single"/>
              </w:rPr>
            </w:pPr>
          </w:p>
        </w:tc>
      </w:tr>
      <w:tr w:rsidR="00921C5C" w14:paraId="002D4536" w14:textId="77777777" w:rsidTr="003D293B">
        <w:tc>
          <w:tcPr>
            <w:tcW w:w="562" w:type="dxa"/>
          </w:tcPr>
          <w:p w14:paraId="363351A2" w14:textId="02DDF367" w:rsidR="00FD484F" w:rsidRDefault="006B13AD" w:rsidP="00465363">
            <w:r>
              <w:t xml:space="preserve"> </w:t>
            </w:r>
            <w:r w:rsidR="003529FA">
              <w:t>2</w:t>
            </w:r>
          </w:p>
        </w:tc>
        <w:tc>
          <w:tcPr>
            <w:tcW w:w="1985" w:type="dxa"/>
          </w:tcPr>
          <w:p w14:paraId="04F7D2E9" w14:textId="3EDFA1AC" w:rsidR="00FD484F" w:rsidRDefault="00FD484F" w:rsidP="00465363">
            <w:r>
              <w:t>Det norske maskinistforbund</w:t>
            </w:r>
            <w:r w:rsidR="009610C2">
              <w:t xml:space="preserve"> (DNMF)</w:t>
            </w:r>
          </w:p>
        </w:tc>
        <w:tc>
          <w:tcPr>
            <w:tcW w:w="3260" w:type="dxa"/>
          </w:tcPr>
          <w:p w14:paraId="7D3F652F" w14:textId="0CA3FB3B" w:rsidR="007A7EE2" w:rsidRPr="00BC6067" w:rsidRDefault="007A7EE2" w:rsidP="007A7EE2">
            <w:pPr>
              <w:rPr>
                <w:u w:val="single"/>
              </w:rPr>
            </w:pPr>
            <w:r w:rsidRPr="00BC6067">
              <w:rPr>
                <w:u w:val="single"/>
              </w:rPr>
              <w:t>Til</w:t>
            </w:r>
            <w:r>
              <w:rPr>
                <w:u w:val="single"/>
              </w:rPr>
              <w:t xml:space="preserve"> forslagets</w:t>
            </w:r>
            <w:r w:rsidRPr="00BC6067">
              <w:rPr>
                <w:u w:val="single"/>
              </w:rPr>
              <w:t xml:space="preserve"> § 1</w:t>
            </w:r>
            <w:r>
              <w:rPr>
                <w:u w:val="single"/>
              </w:rPr>
              <w:t>9 fjerde</w:t>
            </w:r>
            <w:r w:rsidRPr="00BC6067">
              <w:rPr>
                <w:u w:val="single"/>
              </w:rPr>
              <w:t xml:space="preserve"> ledd:</w:t>
            </w:r>
          </w:p>
          <w:p w14:paraId="34A38905" w14:textId="275B7517" w:rsidR="00FD484F" w:rsidRDefault="00D43810" w:rsidP="00465363">
            <w:r>
              <w:t xml:space="preserve">DNMF foreslår endringer i </w:t>
            </w:r>
            <w:r w:rsidR="003E4CDB">
              <w:t>forskriftens</w:t>
            </w:r>
            <w:r w:rsidR="004641CE">
              <w:t xml:space="preserve"> § 19</w:t>
            </w:r>
            <w:r w:rsidR="0080258B">
              <w:t xml:space="preserve"> fjerde ledd bokstav a, b og c</w:t>
            </w:r>
            <w:r w:rsidR="00ED1036">
              <w:t>, som følger:</w:t>
            </w:r>
          </w:p>
          <w:p w14:paraId="59068C63" w14:textId="37AF7484" w:rsidR="00ED1036" w:rsidRDefault="00ED1036" w:rsidP="00ED1036">
            <w:r>
              <w:t>a</w:t>
            </w:r>
            <w:r w:rsidR="001F1D48">
              <w:t>.</w:t>
            </w:r>
            <w:r w:rsidR="00965AED">
              <w:t xml:space="preserve"> </w:t>
            </w:r>
            <w:r>
              <w:t>12 måneders effektiv dokumentert fartstid med gyldig kompetansesertifikat i løpet av 5 års gyldighetsperioden</w:t>
            </w:r>
          </w:p>
          <w:p w14:paraId="6B4488BB" w14:textId="5C18F4D3" w:rsidR="00ED1036" w:rsidRDefault="00ED1036" w:rsidP="00ED1036">
            <w:r>
              <w:t>b</w:t>
            </w:r>
            <w:r w:rsidR="001F1D48">
              <w:t>.</w:t>
            </w:r>
            <w:r>
              <w:t xml:space="preserve"> Dokumenterte funksjoner som </w:t>
            </w:r>
            <w:r w:rsidRPr="006B58F8">
              <w:t>er godkjent likeverdig fartstid</w:t>
            </w:r>
            <w:r>
              <w:t xml:space="preserve"> i løpet av de siste fem år</w:t>
            </w:r>
          </w:p>
          <w:p w14:paraId="5548722C" w14:textId="57FA984C" w:rsidR="00ED1036" w:rsidRDefault="00ED1036" w:rsidP="00ED1036">
            <w:r>
              <w:t>c.</w:t>
            </w:r>
            <w:r w:rsidR="00C13EC1">
              <w:t xml:space="preserve"> </w:t>
            </w:r>
            <w:r>
              <w:t>3 måneders effektiv dokumentert fartstid i driftsbemanning umiddelbart før fornyelsen</w:t>
            </w:r>
          </w:p>
          <w:p w14:paraId="5750EE2E" w14:textId="09DC8F7D" w:rsidR="00ED1036" w:rsidRDefault="00ED1036" w:rsidP="00ED1036">
            <w:r>
              <w:t>d.</w:t>
            </w:r>
            <w:r w:rsidR="00C13EC1">
              <w:t xml:space="preserve"> </w:t>
            </w:r>
            <w:r>
              <w:t>fullført og bestått godkjente nødvendige kurs.</w:t>
            </w:r>
          </w:p>
          <w:p w14:paraId="76BFE574" w14:textId="77777777" w:rsidR="004F1EDD" w:rsidRDefault="004F1EDD" w:rsidP="00ED1036"/>
          <w:p w14:paraId="56CE3FA3" w14:textId="0895DCAF" w:rsidR="00ED1036" w:rsidRDefault="00ED1036" w:rsidP="00ED1036">
            <w:r>
              <w:t xml:space="preserve">Til </w:t>
            </w:r>
            <w:r w:rsidR="00476998">
              <w:t xml:space="preserve">bokstav </w:t>
            </w:r>
            <w:r>
              <w:t>b</w:t>
            </w:r>
            <w:r w:rsidR="00C72459">
              <w:t xml:space="preserve"> om</w:t>
            </w:r>
            <w:r w:rsidR="00006C02">
              <w:t xml:space="preserve"> annen praksis</w:t>
            </w:r>
            <w:r w:rsidR="00E92815">
              <w:t xml:space="preserve"> («funksjoner»)</w:t>
            </w:r>
            <w:r w:rsidR="00006C02">
              <w:t xml:space="preserve"> som kan likestilles med</w:t>
            </w:r>
            <w:r w:rsidR="00C72459">
              <w:t xml:space="preserve"> fartstid</w:t>
            </w:r>
            <w:r w:rsidR="0023792E">
              <w:t xml:space="preserve"> </w:t>
            </w:r>
            <w:r w:rsidR="00500316">
              <w:t xml:space="preserve">(«likeverdig fartstid») </w:t>
            </w:r>
            <w:r w:rsidR="0023792E">
              <w:t>skriver</w:t>
            </w:r>
            <w:r w:rsidR="00476998">
              <w:t xml:space="preserve"> </w:t>
            </w:r>
            <w:r>
              <w:t>D</w:t>
            </w:r>
            <w:r w:rsidR="00476998">
              <w:t xml:space="preserve">NMF </w:t>
            </w:r>
            <w:r>
              <w:t xml:space="preserve">at </w:t>
            </w:r>
            <w:r w:rsidR="0023792E">
              <w:t>de</w:t>
            </w:r>
            <w:r w:rsidR="00D061C4">
              <w:t>t</w:t>
            </w:r>
            <w:r w:rsidR="0023792E">
              <w:t xml:space="preserve"> fo</w:t>
            </w:r>
            <w:r w:rsidR="00D061C4">
              <w:t>rutsettes at de</w:t>
            </w:r>
            <w:r>
              <w:t xml:space="preserve"> deltar og fullfører en liste over slike kriterier så snart som mulig.</w:t>
            </w:r>
          </w:p>
          <w:p w14:paraId="074ABB78" w14:textId="77777777" w:rsidR="00ED1036" w:rsidRDefault="00ED1036" w:rsidP="00465363"/>
          <w:p w14:paraId="3262D9BC" w14:textId="398830E1" w:rsidR="00CF2BDC" w:rsidRDefault="00CF2BDC" w:rsidP="00465363">
            <w:r>
              <w:t xml:space="preserve">DNMF ser også frem til at forskriften blir revidert </w:t>
            </w:r>
            <w:r w:rsidR="003354AE">
              <w:t>mht. datobestemt tekst etc. som er gått ut på dato.</w:t>
            </w:r>
          </w:p>
        </w:tc>
        <w:tc>
          <w:tcPr>
            <w:tcW w:w="3255" w:type="dxa"/>
          </w:tcPr>
          <w:p w14:paraId="21018218" w14:textId="77777777" w:rsidR="00757039" w:rsidRPr="00BC6067" w:rsidRDefault="00757039" w:rsidP="00757039">
            <w:pPr>
              <w:rPr>
                <w:u w:val="single"/>
              </w:rPr>
            </w:pPr>
            <w:r w:rsidRPr="00BC6067">
              <w:rPr>
                <w:u w:val="single"/>
              </w:rPr>
              <w:t>Til</w:t>
            </w:r>
            <w:r>
              <w:rPr>
                <w:u w:val="single"/>
              </w:rPr>
              <w:t xml:space="preserve"> forslagets</w:t>
            </w:r>
            <w:r w:rsidRPr="00BC6067">
              <w:rPr>
                <w:u w:val="single"/>
              </w:rPr>
              <w:t xml:space="preserve"> § 1</w:t>
            </w:r>
            <w:r>
              <w:rPr>
                <w:u w:val="single"/>
              </w:rPr>
              <w:t>9 fjerde</w:t>
            </w:r>
            <w:r w:rsidRPr="00BC6067">
              <w:rPr>
                <w:u w:val="single"/>
              </w:rPr>
              <w:t xml:space="preserve"> ledd:</w:t>
            </w:r>
          </w:p>
          <w:p w14:paraId="7E20B09A" w14:textId="1D68508F" w:rsidR="00AC7B3C" w:rsidRDefault="00AC7B3C" w:rsidP="00B02D7E">
            <w:r>
              <w:t>Sjøfartsd</w:t>
            </w:r>
            <w:r w:rsidR="00EA3069">
              <w:t xml:space="preserve">irektoratet mener at </w:t>
            </w:r>
            <w:r w:rsidR="00CE6CA1">
              <w:t xml:space="preserve">forskriftens § 19 fjerde ledd vil være i henhold til </w:t>
            </w:r>
            <w:r w:rsidR="00F737C5">
              <w:t>direktiv 2008/106/EF</w:t>
            </w:r>
            <w:r w:rsidR="00CE6CA1">
              <w:t xml:space="preserve"> og STCW etter </w:t>
            </w:r>
            <w:r w:rsidR="00CD787B">
              <w:t>at forskriftsendringene</w:t>
            </w:r>
            <w:r>
              <w:t xml:space="preserve"> som direktoratet har foreslått</w:t>
            </w:r>
            <w:r w:rsidR="00CD787B">
              <w:t xml:space="preserve"> trer i kraft</w:t>
            </w:r>
            <w:r w:rsidR="00324C95">
              <w:t>, og vil ikke foreslå ytterligere endringer på det nåværende tidspunkt</w:t>
            </w:r>
            <w:r w:rsidR="00CD787B">
              <w:t xml:space="preserve">. </w:t>
            </w:r>
          </w:p>
          <w:p w14:paraId="5DBC0A82" w14:textId="77777777" w:rsidR="00AC7B3C" w:rsidRDefault="00AC7B3C" w:rsidP="00B02D7E"/>
          <w:p w14:paraId="261C8647" w14:textId="79F24132" w:rsidR="00FD484F" w:rsidRDefault="00B16554" w:rsidP="00B02D7E">
            <w:r>
              <w:t xml:space="preserve">Direktoratet </w:t>
            </w:r>
            <w:r w:rsidR="00837EBB">
              <w:t xml:space="preserve">tar imidlertid med seg </w:t>
            </w:r>
            <w:r>
              <w:t>DNMFs i</w:t>
            </w:r>
            <w:r w:rsidR="00FD484F" w:rsidRPr="00C1503C">
              <w:t>nnspill</w:t>
            </w:r>
            <w:r>
              <w:t xml:space="preserve"> til endringer</w:t>
            </w:r>
            <w:r w:rsidR="00CD787B">
              <w:t xml:space="preserve"> </w:t>
            </w:r>
            <w:r w:rsidR="0012006D">
              <w:t xml:space="preserve">i </w:t>
            </w:r>
            <w:r w:rsidR="005C6BB1">
              <w:t xml:space="preserve">det </w:t>
            </w:r>
            <w:r w:rsidR="00A306FA">
              <w:t>videre arbeid</w:t>
            </w:r>
            <w:r w:rsidR="005C6BB1">
              <w:t>et</w:t>
            </w:r>
            <w:r w:rsidR="00A306FA">
              <w:t xml:space="preserve"> med</w:t>
            </w:r>
            <w:r w:rsidR="00837EBB">
              <w:t xml:space="preserve"> forbedringer av</w:t>
            </w:r>
            <w:r w:rsidR="00A306FA">
              <w:t xml:space="preserve"> forskriften.</w:t>
            </w:r>
          </w:p>
          <w:p w14:paraId="1547D7C4" w14:textId="77777777" w:rsidR="00FD484F" w:rsidRDefault="00FD484F" w:rsidP="00465363"/>
        </w:tc>
      </w:tr>
      <w:tr w:rsidR="00921C5C" w14:paraId="35591B7A" w14:textId="77777777" w:rsidTr="003D293B">
        <w:tc>
          <w:tcPr>
            <w:tcW w:w="562" w:type="dxa"/>
          </w:tcPr>
          <w:p w14:paraId="547433C3" w14:textId="17CF5D89" w:rsidR="00FD484F" w:rsidRDefault="006B13AD" w:rsidP="00465363">
            <w:r>
              <w:t xml:space="preserve"> </w:t>
            </w:r>
            <w:r w:rsidR="003A5BE2">
              <w:t>3</w:t>
            </w:r>
          </w:p>
        </w:tc>
        <w:tc>
          <w:tcPr>
            <w:tcW w:w="1985" w:type="dxa"/>
          </w:tcPr>
          <w:p w14:paraId="36667093" w14:textId="4C10C006" w:rsidR="00FD484F" w:rsidRDefault="00C53FE1" w:rsidP="00465363">
            <w:r w:rsidRPr="00C53FE1">
              <w:t>Det norske Veritas (</w:t>
            </w:r>
            <w:r w:rsidR="00FD484F" w:rsidRPr="00C53FE1">
              <w:t>DNV</w:t>
            </w:r>
            <w:r w:rsidRPr="00C53FE1">
              <w:t>)</w:t>
            </w:r>
          </w:p>
        </w:tc>
        <w:tc>
          <w:tcPr>
            <w:tcW w:w="3260" w:type="dxa"/>
          </w:tcPr>
          <w:p w14:paraId="12F97692" w14:textId="379B621B" w:rsidR="00FD484F" w:rsidRDefault="003534CD" w:rsidP="002A486C"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DNV har ingen merknader til </w:t>
            </w:r>
            <w:r w:rsidR="00EE5C31">
              <w:rPr>
                <w:rFonts w:ascii="Calibri" w:eastAsia="Times New Roman" w:hAnsi="Calibri" w:cs="Calibri"/>
                <w:color w:val="000000"/>
                <w:lang w:eastAsia="nb-NO"/>
              </w:rPr>
              <w:t>forslaget.</w:t>
            </w:r>
          </w:p>
        </w:tc>
        <w:tc>
          <w:tcPr>
            <w:tcW w:w="3255" w:type="dxa"/>
          </w:tcPr>
          <w:p w14:paraId="3F1598EC" w14:textId="77777777" w:rsidR="00EE5C31" w:rsidRDefault="00EE5C31" w:rsidP="00EE5C31">
            <w:r>
              <w:t>Innspillet er notert.</w:t>
            </w:r>
          </w:p>
          <w:p w14:paraId="0746773D" w14:textId="77777777" w:rsidR="00FD484F" w:rsidRDefault="00FD484F" w:rsidP="00465363"/>
        </w:tc>
      </w:tr>
      <w:tr w:rsidR="00921C5C" w14:paraId="72C7ACC9" w14:textId="77777777" w:rsidTr="003D293B">
        <w:tc>
          <w:tcPr>
            <w:tcW w:w="562" w:type="dxa"/>
          </w:tcPr>
          <w:p w14:paraId="4A3A82B1" w14:textId="094408B4" w:rsidR="00FD484F" w:rsidRDefault="006B13AD">
            <w:r>
              <w:t xml:space="preserve"> </w:t>
            </w:r>
            <w:r w:rsidR="003A5BE2">
              <w:t>4</w:t>
            </w:r>
          </w:p>
        </w:tc>
        <w:tc>
          <w:tcPr>
            <w:tcW w:w="1985" w:type="dxa"/>
          </w:tcPr>
          <w:p w14:paraId="63C4D546" w14:textId="771B57A6" w:rsidR="00FD484F" w:rsidRDefault="00FD484F">
            <w:r>
              <w:t>Forsvars</w:t>
            </w:r>
            <w:r w:rsidR="009610C2">
              <w:t>staben (FST)</w:t>
            </w:r>
          </w:p>
        </w:tc>
        <w:tc>
          <w:tcPr>
            <w:tcW w:w="3260" w:type="dxa"/>
          </w:tcPr>
          <w:p w14:paraId="1136C22A" w14:textId="4F893582" w:rsidR="00FD484F" w:rsidRDefault="009610C2">
            <w:r>
              <w:t xml:space="preserve">FST </w:t>
            </w:r>
            <w:r w:rsidR="00B406C2">
              <w:t xml:space="preserve">viser til </w:t>
            </w:r>
            <w:r w:rsidR="00533AED">
              <w:t xml:space="preserve">oppdrag fra Forsvarsdepartementet om </w:t>
            </w:r>
            <w:r w:rsidR="00E5623A">
              <w:t xml:space="preserve">å </w:t>
            </w:r>
            <w:r w:rsidR="009111A9">
              <w:t>vurdere høringen og ev. gi hørings</w:t>
            </w:r>
            <w:r w:rsidR="00E5623A">
              <w:t xml:space="preserve">svar. </w:t>
            </w:r>
            <w:r w:rsidR="00D31540">
              <w:t xml:space="preserve">Forsvaret har ingen innsigelser </w:t>
            </w:r>
            <w:r w:rsidR="00A153F0">
              <w:t>til forslaget.</w:t>
            </w:r>
          </w:p>
        </w:tc>
        <w:tc>
          <w:tcPr>
            <w:tcW w:w="3255" w:type="dxa"/>
          </w:tcPr>
          <w:p w14:paraId="171C7DF9" w14:textId="77777777" w:rsidR="00FD484F" w:rsidRDefault="00FD484F" w:rsidP="00B02D7E">
            <w:r>
              <w:t>Innspillet er notert.</w:t>
            </w:r>
          </w:p>
          <w:p w14:paraId="7CC37E0D" w14:textId="77777777" w:rsidR="00FD484F" w:rsidRDefault="00FD484F"/>
        </w:tc>
      </w:tr>
      <w:tr w:rsidR="00921C5C" w14:paraId="3CB6F360" w14:textId="77777777" w:rsidTr="003D293B">
        <w:tc>
          <w:tcPr>
            <w:tcW w:w="562" w:type="dxa"/>
          </w:tcPr>
          <w:p w14:paraId="5548C524" w14:textId="120EA7DD" w:rsidR="00FD484F" w:rsidRDefault="006B13AD">
            <w:r>
              <w:t xml:space="preserve"> </w:t>
            </w:r>
            <w:r w:rsidR="003F54A9">
              <w:t>5</w:t>
            </w:r>
          </w:p>
        </w:tc>
        <w:tc>
          <w:tcPr>
            <w:tcW w:w="1985" w:type="dxa"/>
          </w:tcPr>
          <w:p w14:paraId="713C82CB" w14:textId="2BF64AA0" w:rsidR="00FD484F" w:rsidRDefault="0048128E">
            <w:r>
              <w:t>Høgskulen på Vestlandet</w:t>
            </w:r>
            <w:r w:rsidR="006B1A24">
              <w:t xml:space="preserve"> (HVL)</w:t>
            </w:r>
          </w:p>
        </w:tc>
        <w:tc>
          <w:tcPr>
            <w:tcW w:w="3260" w:type="dxa"/>
          </w:tcPr>
          <w:p w14:paraId="56C85DF0" w14:textId="2BC96097" w:rsidR="00BC6067" w:rsidRPr="00BC6067" w:rsidRDefault="00BC6067">
            <w:pPr>
              <w:rPr>
                <w:u w:val="single"/>
              </w:rPr>
            </w:pPr>
            <w:r w:rsidRPr="00BC6067">
              <w:rPr>
                <w:u w:val="single"/>
              </w:rPr>
              <w:t>Til</w:t>
            </w:r>
            <w:r w:rsidR="00CD1AF9">
              <w:rPr>
                <w:u w:val="single"/>
              </w:rPr>
              <w:t xml:space="preserve"> forslagets</w:t>
            </w:r>
            <w:r w:rsidRPr="00BC6067">
              <w:rPr>
                <w:u w:val="single"/>
              </w:rPr>
              <w:t xml:space="preserve"> § 14 annet ledd:</w:t>
            </w:r>
          </w:p>
          <w:p w14:paraId="41F661C6" w14:textId="12FE4A33" w:rsidR="00FD484F" w:rsidRDefault="004E6D17">
            <w:r>
              <w:t xml:space="preserve">- </w:t>
            </w:r>
            <w:r w:rsidR="00C52C30">
              <w:t>H</w:t>
            </w:r>
            <w:r w:rsidR="006B1A24">
              <w:t>VL</w:t>
            </w:r>
            <w:r w:rsidR="00C52C30">
              <w:t xml:space="preserve"> </w:t>
            </w:r>
            <w:r w:rsidR="00AC7BD8">
              <w:t xml:space="preserve">bemerker at begrepet </w:t>
            </w:r>
            <w:r w:rsidR="00DE221C">
              <w:t xml:space="preserve">«sensor» brukes i utdanningssystemet, og at </w:t>
            </w:r>
            <w:r w:rsidR="00AC7BD8">
              <w:lastRenderedPageBreak/>
              <w:t>«assessor» ikke er et innarbeidet begrep i norsk høyere utdanning</w:t>
            </w:r>
            <w:r w:rsidR="00DE221C">
              <w:t>.</w:t>
            </w:r>
          </w:p>
          <w:p w14:paraId="1269D9C8" w14:textId="48246E3B" w:rsidR="00D8538E" w:rsidRDefault="004E6D17">
            <w:r>
              <w:t xml:space="preserve">- </w:t>
            </w:r>
            <w:r w:rsidR="00D8538E">
              <w:t>Videre påpeker H</w:t>
            </w:r>
            <w:r w:rsidR="006B1A24">
              <w:t>VL</w:t>
            </w:r>
            <w:r w:rsidR="00D8538E">
              <w:t xml:space="preserve"> a</w:t>
            </w:r>
            <w:r w:rsidR="007B58EF">
              <w:t>t</w:t>
            </w:r>
            <w:r w:rsidR="0039327D">
              <w:t xml:space="preserve"> det fremstår underlig at </w:t>
            </w:r>
            <w:r w:rsidR="001C467E">
              <w:t>oversikten over kvalifikasjoner og erfaring hos instruktører og assessorer skal inngå i kvalitetssystemet, og ikke i en prosedyre</w:t>
            </w:r>
            <w:r w:rsidR="007B58EF">
              <w:t xml:space="preserve"> </w:t>
            </w:r>
            <w:r w:rsidR="0084718C">
              <w:t>hvor dette er arkivert. K</w:t>
            </w:r>
            <w:r w:rsidR="007B58EF">
              <w:t xml:space="preserve">valitetssystemet </w:t>
            </w:r>
            <w:r w:rsidR="0084718C">
              <w:t xml:space="preserve">inneholder </w:t>
            </w:r>
            <w:r w:rsidR="007B58EF">
              <w:t xml:space="preserve">normalt prosedyrer og sjekklister, </w:t>
            </w:r>
            <w:r w:rsidR="00D1657E">
              <w:t>som i sin tur gir føringer for sjekk og arkivering av dokumentasjon. Dette bør også gjelde her.</w:t>
            </w:r>
          </w:p>
          <w:p w14:paraId="507086C4" w14:textId="77777777" w:rsidR="00CD1AF9" w:rsidRDefault="00CD1AF9"/>
          <w:p w14:paraId="033CE935" w14:textId="52CB43E2" w:rsidR="00CD1AF9" w:rsidRPr="002C2092" w:rsidRDefault="00CD1AF9">
            <w:pPr>
              <w:rPr>
                <w:u w:val="single"/>
              </w:rPr>
            </w:pPr>
            <w:r w:rsidRPr="002C2092">
              <w:rPr>
                <w:u w:val="single"/>
              </w:rPr>
              <w:t>Til forslagets § 14 femte ledd:</w:t>
            </w:r>
          </w:p>
          <w:p w14:paraId="5A65B6D3" w14:textId="77777777" w:rsidR="00CD1AF9" w:rsidRDefault="000361FC" w:rsidP="0084492D">
            <w:r>
              <w:t xml:space="preserve">- </w:t>
            </w:r>
            <w:r w:rsidR="002C2092">
              <w:t xml:space="preserve">Høgskulen forutsetter at «relevant» </w:t>
            </w:r>
            <w:r w:rsidR="00E818F3">
              <w:t>defineres utover maritim operativ erfaring</w:t>
            </w:r>
            <w:r w:rsidR="00222F1E">
              <w:t>, ettersom det vil være relevant med utdanning innenfor</w:t>
            </w:r>
            <w:r w:rsidR="00542086">
              <w:t xml:space="preserve"> flere områder inn mot emner som f.eks. </w:t>
            </w:r>
            <w:r w:rsidR="00542086" w:rsidRPr="00471321">
              <w:t>meteorologi, ledelse, skipsteknikk, maskin, osv.</w:t>
            </w:r>
          </w:p>
          <w:p w14:paraId="6E2EAF35" w14:textId="77777777" w:rsidR="00E77A4B" w:rsidRDefault="00E77A4B" w:rsidP="0084492D"/>
          <w:p w14:paraId="3972959D" w14:textId="5EF04DC7" w:rsidR="000361FC" w:rsidRDefault="000361FC" w:rsidP="0084492D">
            <w:r>
              <w:t xml:space="preserve">- </w:t>
            </w:r>
            <w:r w:rsidR="008A2D7A">
              <w:t xml:space="preserve">Det må presiseres </w:t>
            </w:r>
            <w:r w:rsidR="008A2D7A" w:rsidRPr="00510965">
              <w:t>om alle assessorer</w:t>
            </w:r>
            <w:r w:rsidR="00DE7594" w:rsidRPr="00510965">
              <w:t xml:space="preserve"> (eksaminator)</w:t>
            </w:r>
            <w:r w:rsidR="008A2D7A" w:rsidRPr="00510965">
              <w:t xml:space="preserve"> må ha IMO modellkurs 6.10</w:t>
            </w:r>
            <w:r w:rsidR="00AF274B" w:rsidRPr="00510965">
              <w:t xml:space="preserve"> eller om det er tilstrekkelig at f.eks. én av to i en sensorkommisjon har dette</w:t>
            </w:r>
            <w:r w:rsidR="004261DD" w:rsidRPr="00510965">
              <w:t>.</w:t>
            </w:r>
            <w:r w:rsidR="004261DD">
              <w:t xml:space="preserve"> Dersom det blir et krav for alle sensorer</w:t>
            </w:r>
            <w:r w:rsidR="003E2849">
              <w:t>, vil det medføre</w:t>
            </w:r>
            <w:r w:rsidR="00970EF2">
              <w:t xml:space="preserve"> at</w:t>
            </w:r>
            <w:r w:rsidR="003E2849">
              <w:t xml:space="preserve"> a</w:t>
            </w:r>
            <w:r w:rsidR="00875E50">
              <w:t>ktivt seilende kapteiner, loser el.</w:t>
            </w:r>
            <w:r w:rsidR="000149C4">
              <w:t xml:space="preserve"> Ikke kan brukes som sensor. Det er ikke økonomi i maritim utdanning til å kjøpe kurs til eksterne sensorer</w:t>
            </w:r>
            <w:r w:rsidR="008D42A0">
              <w:t xml:space="preserve"> uten at det omprioriteres midler fra undervisning og opplæring til </w:t>
            </w:r>
            <w:r w:rsidR="007A38F0">
              <w:t>vurderingsdelen av opplæringsprogrammet, og det er ikke en ønskelig utvikling.</w:t>
            </w:r>
          </w:p>
        </w:tc>
        <w:tc>
          <w:tcPr>
            <w:tcW w:w="3255" w:type="dxa"/>
          </w:tcPr>
          <w:p w14:paraId="563B8D54" w14:textId="77777777" w:rsidR="0084492D" w:rsidRPr="00BC6067" w:rsidRDefault="0084492D" w:rsidP="0084492D">
            <w:pPr>
              <w:rPr>
                <w:u w:val="single"/>
              </w:rPr>
            </w:pPr>
            <w:r w:rsidRPr="00BC6067">
              <w:rPr>
                <w:u w:val="single"/>
              </w:rPr>
              <w:lastRenderedPageBreak/>
              <w:t>Til</w:t>
            </w:r>
            <w:r>
              <w:rPr>
                <w:u w:val="single"/>
              </w:rPr>
              <w:t xml:space="preserve"> forslagets</w:t>
            </w:r>
            <w:r w:rsidRPr="00BC6067">
              <w:rPr>
                <w:u w:val="single"/>
              </w:rPr>
              <w:t xml:space="preserve"> § 14 annet ledd:</w:t>
            </w:r>
          </w:p>
          <w:p w14:paraId="3B1979F9" w14:textId="013685EC" w:rsidR="00FD484F" w:rsidRDefault="00AF2458" w:rsidP="00F520A4">
            <w:pPr>
              <w:spacing w:after="160" w:line="259" w:lineRule="auto"/>
            </w:pPr>
            <w:r>
              <w:t xml:space="preserve">- </w:t>
            </w:r>
            <w:r w:rsidR="004E0FF6">
              <w:t>D</w:t>
            </w:r>
            <w:r w:rsidR="0063088F">
              <w:t>et vises til at begrepet</w:t>
            </w:r>
            <w:r w:rsidR="004E0FF6">
              <w:t xml:space="preserve"> «ass</w:t>
            </w:r>
            <w:r w:rsidR="007842F7">
              <w:t>essor»</w:t>
            </w:r>
            <w:r w:rsidR="0063088F">
              <w:t xml:space="preserve"> allerede brukes i forskriften</w:t>
            </w:r>
            <w:r w:rsidR="00176D65">
              <w:t xml:space="preserve"> og i relevante kvalifikasjonsbevis</w:t>
            </w:r>
            <w:r w:rsidR="00FD484F">
              <w:t>.</w:t>
            </w:r>
            <w:r w:rsidR="0063088F">
              <w:t xml:space="preserve"> Direktoratet </w:t>
            </w:r>
            <w:r w:rsidR="0063088F">
              <w:lastRenderedPageBreak/>
              <w:t xml:space="preserve">tar med seg innspillet </w:t>
            </w:r>
            <w:r w:rsidR="009A5B7E">
              <w:t xml:space="preserve">inn i </w:t>
            </w:r>
            <w:r w:rsidR="00AC4E7B">
              <w:t xml:space="preserve">arbeidet med </w:t>
            </w:r>
            <w:r w:rsidR="00EE566C">
              <w:t>en helhetlig revisjon av forskriften.</w:t>
            </w:r>
            <w:r w:rsidR="00F520A4">
              <w:t xml:space="preserve"> </w:t>
            </w:r>
          </w:p>
          <w:p w14:paraId="2B3580D6" w14:textId="6712B6AA" w:rsidR="00AF2458" w:rsidRDefault="00AF2458" w:rsidP="00B02D7E">
            <w:r>
              <w:t xml:space="preserve">- </w:t>
            </w:r>
            <w:r w:rsidR="00FB0368">
              <w:t xml:space="preserve">Innspillet om hva som bør inngå i et kvalitetssystem er notert. </w:t>
            </w:r>
            <w:r w:rsidR="00320653">
              <w:t xml:space="preserve">Det er ikke foreslått </w:t>
            </w:r>
            <w:r w:rsidR="00C207FD">
              <w:t xml:space="preserve">andre endringer i annet ledd enn </w:t>
            </w:r>
            <w:r w:rsidR="008120D7">
              <w:t>å bytte ut begrepet «eksaminatorer» med «assessorer».</w:t>
            </w:r>
            <w:r w:rsidR="00B029DD">
              <w:t xml:space="preserve"> </w:t>
            </w:r>
          </w:p>
          <w:p w14:paraId="769DCACE" w14:textId="77777777" w:rsidR="00AC4E7B" w:rsidRDefault="00AC4E7B" w:rsidP="00B02D7E"/>
          <w:p w14:paraId="242AAF24" w14:textId="77777777" w:rsidR="008C772F" w:rsidRDefault="0084492D" w:rsidP="008C772F">
            <w:pPr>
              <w:rPr>
                <w:u w:val="single"/>
              </w:rPr>
            </w:pPr>
            <w:r w:rsidRPr="002C2092">
              <w:rPr>
                <w:u w:val="single"/>
              </w:rPr>
              <w:t>Til forslagets § 14 femte ledd:</w:t>
            </w:r>
          </w:p>
          <w:p w14:paraId="490D874A" w14:textId="002C4F48" w:rsidR="008C772F" w:rsidRPr="008C772F" w:rsidRDefault="00E77A4B" w:rsidP="008C772F">
            <w:pPr>
              <w:rPr>
                <w:rStyle w:val="normaltextrun"/>
                <w:rFonts w:cstheme="minorHAnsi"/>
                <w:u w:val="single"/>
              </w:rPr>
            </w:pPr>
            <w:r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2454BF" w:rsidRPr="00AE45C8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Begrepet "relevant" </w:t>
            </w:r>
            <w:r w:rsidR="00775588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er</w:t>
            </w:r>
            <w:r w:rsidR="006A288B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54BF" w:rsidRPr="00AE45C8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fores</w:t>
            </w:r>
            <w:r w:rsidR="006A288B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lått</w:t>
            </w:r>
            <w:r w:rsidR="002454BF" w:rsidRPr="00AE45C8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tatt inn</w:t>
            </w:r>
            <w:r w:rsidR="005D539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foran </w:t>
            </w:r>
            <w:r w:rsidR="00F84574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«høyere utdanningsnivå»</w:t>
            </w:r>
            <w:r w:rsidR="002454BF" w:rsidRPr="00AE45C8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i § 14 femte ledd annet punktum for å presisere at dette kun gjelder</w:t>
            </w:r>
            <w:r w:rsidR="002C2C84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fagkompetanse på</w:t>
            </w:r>
            <w:r w:rsidR="002454BF" w:rsidRPr="00AE45C8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høyere utdanningsnivå</w:t>
            </w:r>
            <w:r w:rsidR="00337B07" w:rsidRPr="00AE45C8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som er relevant for den maritime utdanningen</w:t>
            </w:r>
            <w:r w:rsidR="002454BF" w:rsidRPr="00AE45C8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.</w:t>
            </w:r>
            <w:r w:rsidR="002454BF">
              <w:rPr>
                <w:rStyle w:val="cf01"/>
                <w:rFonts w:cstheme="minorHAnsi"/>
              </w:rPr>
              <w:t xml:space="preserve"> </w:t>
            </w:r>
            <w:r w:rsidR="008C772F" w:rsidRPr="008C772F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Forslaget til endring medfører ingen realitetsendring sammenlignet med gjeldende praksis, </w:t>
            </w:r>
            <w:r w:rsidR="00F2753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og</w:t>
            </w:r>
            <w:r w:rsidR="00896102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f.eks. </w:t>
            </w:r>
            <w:r w:rsidR="00896102" w:rsidRPr="00AE45C8">
              <w:t>meteorologi, ledelse, skipsteknikk, maskin, osv.</w:t>
            </w:r>
            <w:r w:rsidR="00896102">
              <w:t xml:space="preserve"> vil være relevant</w:t>
            </w:r>
            <w:r w:rsidR="005060D2">
              <w:t xml:space="preserve"> </w:t>
            </w:r>
            <w:r w:rsidR="002E51FE">
              <w:t>fag</w:t>
            </w:r>
            <w:r w:rsidR="005060D2">
              <w:t>kompetanse</w:t>
            </w:r>
            <w:r w:rsidR="00896102">
              <w:t xml:space="preserve"> i denne sammenhengen.</w:t>
            </w:r>
          </w:p>
          <w:p w14:paraId="65A77698" w14:textId="270C077D" w:rsidR="0084492D" w:rsidRDefault="0084492D" w:rsidP="00B02D7E"/>
          <w:p w14:paraId="7BE28937" w14:textId="352BA6F9" w:rsidR="00FD484F" w:rsidRDefault="0026097F" w:rsidP="00F84E42">
            <w:pPr>
              <w:spacing w:after="160" w:line="259" w:lineRule="auto"/>
            </w:pPr>
            <w:r>
              <w:t xml:space="preserve">- </w:t>
            </w:r>
            <w:r w:rsidR="007921EB">
              <w:t>Det følger av f</w:t>
            </w:r>
            <w:r>
              <w:t>orslaget</w:t>
            </w:r>
            <w:r w:rsidR="007921EB">
              <w:t>s</w:t>
            </w:r>
            <w:r>
              <w:t xml:space="preserve"> </w:t>
            </w:r>
            <w:r w:rsidR="007921EB">
              <w:t>ordlyd</w:t>
            </w:r>
            <w:r>
              <w:t xml:space="preserve"> at alle </w:t>
            </w:r>
            <w:r w:rsidR="000D3258" w:rsidRPr="00510965">
              <w:t>i</w:t>
            </w:r>
            <w:r w:rsidR="00ED553A" w:rsidRPr="00510965">
              <w:rPr>
                <w:rFonts w:eastAsia="Times New Roman" w:cstheme="minorHAnsi"/>
                <w:bCs/>
                <w:lang w:eastAsia="nb-NO"/>
              </w:rPr>
              <w:t>nstruktører og assessorer</w:t>
            </w:r>
            <w:r w:rsidR="00ED553A" w:rsidRPr="000D3258">
              <w:rPr>
                <w:rFonts w:eastAsia="Times New Roman" w:cstheme="minorHAnsi"/>
                <w:bCs/>
                <w:lang w:eastAsia="nb-NO"/>
              </w:rPr>
              <w:t xml:space="preserve"> som underviser ved bruk av simulator, skal ha opplæring etter IMO-modellkurs «6.10 Train the simulator trainer and assessor»</w:t>
            </w:r>
            <w:r w:rsidR="00346E31">
              <w:rPr>
                <w:rFonts w:eastAsia="Times New Roman" w:cstheme="minorHAnsi"/>
                <w:bCs/>
                <w:lang w:eastAsia="nb-NO"/>
              </w:rPr>
              <w:t xml:space="preserve"> og tilleggsopplæring</w:t>
            </w:r>
            <w:r w:rsidR="00683BFA">
              <w:rPr>
                <w:rFonts w:eastAsia="Times New Roman" w:cstheme="minorHAnsi"/>
                <w:bCs/>
                <w:lang w:eastAsia="nb-NO"/>
              </w:rPr>
              <w:t>, jf. n</w:t>
            </w:r>
            <w:r w:rsidR="00346E31">
              <w:rPr>
                <w:rStyle w:val="normaltextrun"/>
                <w:rFonts w:cstheme="minorHAnsi"/>
              </w:rPr>
              <w:t>ytt fjerde og femte punktum i § 14 femte ledd</w:t>
            </w:r>
            <w:r w:rsidR="00683BFA">
              <w:rPr>
                <w:rStyle w:val="normaltextrun"/>
                <w:rFonts w:cstheme="minorHAnsi"/>
              </w:rPr>
              <w:t xml:space="preserve">. </w:t>
            </w:r>
            <w:r w:rsidR="00F84E42">
              <w:rPr>
                <w:rFonts w:eastAsia="Times New Roman" w:cstheme="minorHAnsi"/>
                <w:bCs/>
                <w:lang w:eastAsia="nb-NO"/>
              </w:rPr>
              <w:t xml:space="preserve">Dette er krav </w:t>
            </w:r>
            <w:r w:rsidR="00311A4C">
              <w:rPr>
                <w:rFonts w:eastAsia="Times New Roman" w:cstheme="minorHAnsi"/>
                <w:bCs/>
                <w:lang w:eastAsia="nb-NO"/>
              </w:rPr>
              <w:t>som følger av</w:t>
            </w:r>
            <w:r w:rsidR="00346E31">
              <w:rPr>
                <w:rStyle w:val="normaltextrun"/>
                <w:rFonts w:cstheme="minorHAnsi"/>
              </w:rPr>
              <w:t xml:space="preserve"> </w:t>
            </w:r>
            <w:r w:rsidR="006A091C">
              <w:t>direktiv 2008/106/EF</w:t>
            </w:r>
            <w:r w:rsidR="00346E31">
              <w:rPr>
                <w:rStyle w:val="normaltextrun"/>
                <w:rFonts w:cstheme="minorHAnsi"/>
              </w:rPr>
              <w:t xml:space="preserve"> artikkel 17(2)(d)(iii) og artikkel 17(2)(f)(v)</w:t>
            </w:r>
            <w:r w:rsidR="00CF09C3">
              <w:rPr>
                <w:rStyle w:val="normaltextrun"/>
                <w:rFonts w:cstheme="minorHAnsi"/>
              </w:rPr>
              <w:t>, og som derfor ikke kan velges bort</w:t>
            </w:r>
            <w:r w:rsidR="009D0422">
              <w:rPr>
                <w:rStyle w:val="normaltextrun"/>
                <w:rFonts w:cstheme="minorHAnsi"/>
              </w:rPr>
              <w:t xml:space="preserve"> fordi direktivet er bindende for Norge</w:t>
            </w:r>
            <w:r w:rsidR="00346E31">
              <w:rPr>
                <w:rStyle w:val="normaltextrun"/>
                <w:rFonts w:cstheme="minorHAnsi"/>
              </w:rPr>
              <w:t>.</w:t>
            </w:r>
          </w:p>
        </w:tc>
      </w:tr>
      <w:tr w:rsidR="0042204B" w14:paraId="42D44E36" w14:textId="77777777" w:rsidTr="003D293B">
        <w:tc>
          <w:tcPr>
            <w:tcW w:w="562" w:type="dxa"/>
          </w:tcPr>
          <w:p w14:paraId="49E3CEF8" w14:textId="574A8989" w:rsidR="004C063B" w:rsidRDefault="006B13AD" w:rsidP="004C063B">
            <w:r>
              <w:lastRenderedPageBreak/>
              <w:t xml:space="preserve"> </w:t>
            </w:r>
            <w:r w:rsidR="003F54A9">
              <w:t>6</w:t>
            </w:r>
          </w:p>
        </w:tc>
        <w:tc>
          <w:tcPr>
            <w:tcW w:w="1985" w:type="dxa"/>
          </w:tcPr>
          <w:p w14:paraId="51A36F08" w14:textId="153F441C" w:rsidR="004C063B" w:rsidRDefault="004C063B" w:rsidP="004C063B">
            <w:r>
              <w:t>Justis- og beredskaps</w:t>
            </w:r>
            <w:r w:rsidR="002C1399">
              <w:t>-</w:t>
            </w:r>
            <w:r>
              <w:t>departementet</w:t>
            </w:r>
          </w:p>
        </w:tc>
        <w:tc>
          <w:tcPr>
            <w:tcW w:w="3260" w:type="dxa"/>
          </w:tcPr>
          <w:p w14:paraId="05E778DA" w14:textId="16FEA558" w:rsidR="004C063B" w:rsidRDefault="004C063B" w:rsidP="004C063B">
            <w:r>
              <w:t>Departementet har ingen merknader</w:t>
            </w:r>
            <w:r w:rsidR="00692D9A">
              <w:t xml:space="preserve"> til forslaget.</w:t>
            </w:r>
          </w:p>
        </w:tc>
        <w:tc>
          <w:tcPr>
            <w:tcW w:w="3255" w:type="dxa"/>
          </w:tcPr>
          <w:p w14:paraId="137A1946" w14:textId="77777777" w:rsidR="004C063B" w:rsidRDefault="004C063B" w:rsidP="004C063B">
            <w:r>
              <w:t>Innspillet er notert.</w:t>
            </w:r>
          </w:p>
          <w:p w14:paraId="1C13E8BD" w14:textId="77777777" w:rsidR="004C063B" w:rsidRDefault="004C063B" w:rsidP="004C063B"/>
        </w:tc>
      </w:tr>
      <w:tr w:rsidR="00921C5C" w14:paraId="4B8DEC99" w14:textId="77777777" w:rsidTr="003D293B">
        <w:tc>
          <w:tcPr>
            <w:tcW w:w="562" w:type="dxa"/>
          </w:tcPr>
          <w:p w14:paraId="01059B5B" w14:textId="618B3076" w:rsidR="00FD484F" w:rsidRDefault="006B13AD" w:rsidP="00465363">
            <w:r>
              <w:t xml:space="preserve"> </w:t>
            </w:r>
            <w:r w:rsidR="00163ECD">
              <w:t>7</w:t>
            </w:r>
          </w:p>
        </w:tc>
        <w:tc>
          <w:tcPr>
            <w:tcW w:w="1985" w:type="dxa"/>
          </w:tcPr>
          <w:p w14:paraId="799DC669" w14:textId="4A78DBE8" w:rsidR="00FD484F" w:rsidRDefault="00163ECD" w:rsidP="00465363">
            <w:r>
              <w:t>NHO Sjøfart</w:t>
            </w:r>
          </w:p>
        </w:tc>
        <w:tc>
          <w:tcPr>
            <w:tcW w:w="3260" w:type="dxa"/>
          </w:tcPr>
          <w:p w14:paraId="51E8879E" w14:textId="58B2E0E2" w:rsidR="00757039" w:rsidRPr="00BC6067" w:rsidRDefault="00757039" w:rsidP="00757039">
            <w:pPr>
              <w:rPr>
                <w:u w:val="single"/>
              </w:rPr>
            </w:pPr>
            <w:r w:rsidRPr="00BC6067">
              <w:rPr>
                <w:u w:val="single"/>
              </w:rPr>
              <w:t>Til</w:t>
            </w:r>
            <w:r>
              <w:rPr>
                <w:u w:val="single"/>
              </w:rPr>
              <w:t xml:space="preserve"> forslaget</w:t>
            </w:r>
            <w:r w:rsidR="006F6E87">
              <w:rPr>
                <w:u w:val="single"/>
              </w:rPr>
              <w:t xml:space="preserve"> om opphevelse av</w:t>
            </w:r>
            <w:r w:rsidRPr="00BC6067">
              <w:rPr>
                <w:u w:val="single"/>
              </w:rPr>
              <w:t xml:space="preserve"> § 1</w:t>
            </w:r>
            <w:r>
              <w:rPr>
                <w:u w:val="single"/>
              </w:rPr>
              <w:t xml:space="preserve">9 </w:t>
            </w:r>
            <w:r w:rsidR="00FE67CA">
              <w:rPr>
                <w:u w:val="single"/>
              </w:rPr>
              <w:t>sjett</w:t>
            </w:r>
            <w:r>
              <w:rPr>
                <w:u w:val="single"/>
              </w:rPr>
              <w:t>e</w:t>
            </w:r>
            <w:r w:rsidRPr="00BC6067">
              <w:rPr>
                <w:u w:val="single"/>
              </w:rPr>
              <w:t xml:space="preserve"> ledd:</w:t>
            </w:r>
          </w:p>
          <w:p w14:paraId="723E6D3F" w14:textId="77777777" w:rsidR="00FD484F" w:rsidRDefault="00140096" w:rsidP="00465363">
            <w:r>
              <w:t xml:space="preserve">NHO </w:t>
            </w:r>
            <w:r w:rsidR="00E63F25">
              <w:t xml:space="preserve">Sjøfart </w:t>
            </w:r>
            <w:r>
              <w:t xml:space="preserve">mener at </w:t>
            </w:r>
            <w:r w:rsidR="007D505F">
              <w:t>muligheten til å ivareta sitt maritime sertifikat (lavere klasse) ved arbeid på land er viktig</w:t>
            </w:r>
            <w:r w:rsidR="00FE67CA">
              <w:t xml:space="preserve">, og er kritisk til at § 19 </w:t>
            </w:r>
            <w:r w:rsidR="00FE67CA">
              <w:lastRenderedPageBreak/>
              <w:t xml:space="preserve">sjette ledd </w:t>
            </w:r>
            <w:r w:rsidR="00113786">
              <w:t xml:space="preserve">oppheves. </w:t>
            </w:r>
            <w:r w:rsidR="006D276D">
              <w:t>Mange rederier henter ansatte fra sjøen for å dekke stillinger som teknisk</w:t>
            </w:r>
            <w:r w:rsidR="00E63F25">
              <w:t xml:space="preserve"> inspektør og operativ leder. Dette er med på å </w:t>
            </w:r>
            <w:r w:rsidR="00691471">
              <w:t>styrke forholdet og kompetansen mellom land og sjø</w:t>
            </w:r>
            <w:r w:rsidR="00DC2DAC">
              <w:t>. J</w:t>
            </w:r>
            <w:r w:rsidR="00691471">
              <w:t>obbene på land er fullverdige for å vedlikeholde sin yrkeskompetanse</w:t>
            </w:r>
            <w:r w:rsidR="00DC2DAC">
              <w:t xml:space="preserve"> fra sjøen</w:t>
            </w:r>
            <w:r w:rsidR="0013497E">
              <w:t xml:space="preserve">, </w:t>
            </w:r>
            <w:r w:rsidR="0096622F">
              <w:t>og innebærer at d</w:t>
            </w:r>
            <w:r w:rsidR="00266172">
              <w:t>isse arbeidstakerne kommer styrket ut den dagen de ønsker seg tilbake til båt.</w:t>
            </w:r>
          </w:p>
          <w:p w14:paraId="59A65EE1" w14:textId="77777777" w:rsidR="003A7CE4" w:rsidRDefault="003A7CE4" w:rsidP="00465363"/>
          <w:p w14:paraId="27875AE0" w14:textId="08F9C23F" w:rsidR="00CC685A" w:rsidRDefault="00CC685A" w:rsidP="00465363">
            <w:r>
              <w:t>Videre pågår</w:t>
            </w:r>
            <w:r w:rsidR="00351344">
              <w:t xml:space="preserve"> det</w:t>
            </w:r>
            <w:r>
              <w:t xml:space="preserve"> et arbeid i IMO om oppdatering av STCW</w:t>
            </w:r>
            <w:r w:rsidR="00A340A9">
              <w:t>, og Sjøfartsdirektoratet bør arbeide for at muligheten opprettholdes.</w:t>
            </w:r>
          </w:p>
          <w:p w14:paraId="14272D8F" w14:textId="77777777" w:rsidR="00A340A9" w:rsidRDefault="00FA1A5F" w:rsidP="00465363">
            <w:r>
              <w:t xml:space="preserve">Behovet for nye sjøfolk er stort, og det må tilrettelegges for at </w:t>
            </w:r>
            <w:r w:rsidR="00802241">
              <w:t>sjøansatte kan arbeide i perioder på land for å beholde ansatte gjennom hele yrkeslivet.</w:t>
            </w:r>
            <w:r w:rsidR="0012337B">
              <w:t xml:space="preserve"> </w:t>
            </w:r>
            <w:r w:rsidR="00901029">
              <w:t>Muligheten bør styrkes med tanke på rekrutteringsbehovet og overgangen til ny teknologi, hvor man blant annet ser på operasjonsrom på land (autonomi).</w:t>
            </w:r>
          </w:p>
          <w:p w14:paraId="6B1118C0" w14:textId="77777777" w:rsidR="00901029" w:rsidRDefault="000320AE" w:rsidP="00465363">
            <w:r>
              <w:t>Det bør også bli enklere å hente nye sjøansatte fra andre relevante landbaserte yrker</w:t>
            </w:r>
            <w:r w:rsidR="00946831">
              <w:t>.</w:t>
            </w:r>
          </w:p>
          <w:p w14:paraId="4308D141" w14:textId="77777777" w:rsidR="001903C1" w:rsidRDefault="001903C1" w:rsidP="00465363"/>
          <w:p w14:paraId="34D19BE3" w14:textId="3C7BEA52" w:rsidR="00946831" w:rsidRDefault="00946831" w:rsidP="00465363">
            <w:r>
              <w:t xml:space="preserve">Videre </w:t>
            </w:r>
            <w:r w:rsidR="00D17BFC">
              <w:t>er man avhengig av mer fleksible løsninger</w:t>
            </w:r>
            <w:r w:rsidR="00066814">
              <w:t xml:space="preserve"> for å kunne rekruttere flere kvinner inn i operativt arbeid på sjøen og beholde dem.</w:t>
            </w:r>
          </w:p>
        </w:tc>
        <w:tc>
          <w:tcPr>
            <w:tcW w:w="3255" w:type="dxa"/>
          </w:tcPr>
          <w:p w14:paraId="4EFF8AE5" w14:textId="77777777" w:rsidR="006F6E87" w:rsidRPr="00BC6067" w:rsidRDefault="006F6E87" w:rsidP="006F6E87">
            <w:pPr>
              <w:rPr>
                <w:u w:val="single"/>
              </w:rPr>
            </w:pPr>
            <w:r w:rsidRPr="00BC6067">
              <w:rPr>
                <w:u w:val="single"/>
              </w:rPr>
              <w:lastRenderedPageBreak/>
              <w:t>Til</w:t>
            </w:r>
            <w:r>
              <w:rPr>
                <w:u w:val="single"/>
              </w:rPr>
              <w:t xml:space="preserve"> forslaget om opphevelse av</w:t>
            </w:r>
            <w:r w:rsidRPr="00BC6067">
              <w:rPr>
                <w:u w:val="single"/>
              </w:rPr>
              <w:t xml:space="preserve"> § 1</w:t>
            </w:r>
            <w:r>
              <w:rPr>
                <w:u w:val="single"/>
              </w:rPr>
              <w:t>9 sjette</w:t>
            </w:r>
            <w:r w:rsidRPr="00BC6067">
              <w:rPr>
                <w:u w:val="single"/>
              </w:rPr>
              <w:t xml:space="preserve"> ledd:</w:t>
            </w:r>
          </w:p>
          <w:p w14:paraId="1EE67D5B" w14:textId="62CC3FA5" w:rsidR="00656B8F" w:rsidRDefault="00D446DA" w:rsidP="00465363">
            <w:r>
              <w:t>Sjøfartsdirektoratet ønsker å legge til rette for fleksible løsninger som</w:t>
            </w:r>
            <w:r w:rsidR="008A4B50">
              <w:t xml:space="preserve"> </w:t>
            </w:r>
            <w:r w:rsidR="003A7CE4">
              <w:t xml:space="preserve">både </w:t>
            </w:r>
            <w:r>
              <w:t>er sikkerhetsmessig forsvarlige</w:t>
            </w:r>
            <w:r w:rsidR="008A4B50">
              <w:t xml:space="preserve"> og </w:t>
            </w:r>
            <w:r>
              <w:lastRenderedPageBreak/>
              <w:t>innenfor rammene av internasjonalt regelverk.</w:t>
            </w:r>
            <w:r w:rsidR="008A4B50">
              <w:t xml:space="preserve"> </w:t>
            </w:r>
            <w:r w:rsidR="00E96730">
              <w:t xml:space="preserve">Etter direktoratets mening er det ikke et alternativ å beholde </w:t>
            </w:r>
            <w:r w:rsidR="003E4CDB">
              <w:t>forskriftens</w:t>
            </w:r>
            <w:r w:rsidR="00D83C52">
              <w:t xml:space="preserve"> </w:t>
            </w:r>
            <w:r w:rsidR="0042204B">
              <w:t>§ 19 sjette ledd</w:t>
            </w:r>
            <w:r w:rsidR="008C36D4">
              <w:t xml:space="preserve"> </w:t>
            </w:r>
            <w:r w:rsidR="004A2301">
              <w:t xml:space="preserve">i sin nåværende form </w:t>
            </w:r>
            <w:r w:rsidR="0042204B">
              <w:t xml:space="preserve">fordi bestemmelsen er i strid med </w:t>
            </w:r>
            <w:r w:rsidR="00F62157">
              <w:t xml:space="preserve">direktiv 2008/106/EF og STCW. </w:t>
            </w:r>
          </w:p>
          <w:p w14:paraId="0C41E1BF" w14:textId="77777777" w:rsidR="00656B8F" w:rsidRDefault="00656B8F" w:rsidP="00465363"/>
          <w:p w14:paraId="745D571E" w14:textId="02A23176" w:rsidR="00B02134" w:rsidRDefault="00B02134" w:rsidP="00465363">
            <w:r>
              <w:t>Sjøfartsdirektor</w:t>
            </w:r>
            <w:r w:rsidR="006C424E">
              <w:t>at</w:t>
            </w:r>
            <w:r>
              <w:t>et vi</w:t>
            </w:r>
            <w:r w:rsidR="001C7BBC">
              <w:t xml:space="preserve">l påpeke at muligheten til å opparbeide </w:t>
            </w:r>
            <w:r w:rsidR="00A10488">
              <w:t>annen praksis som kan likestilles med fartstid (</w:t>
            </w:r>
            <w:r w:rsidR="00AC7B3C">
              <w:t xml:space="preserve">heretter </w:t>
            </w:r>
            <w:r w:rsidR="00A10488">
              <w:t xml:space="preserve">«likeverdig fartstid») </w:t>
            </w:r>
            <w:r w:rsidR="004B3D59">
              <w:t xml:space="preserve">fortsatt vil være en mulighet </w:t>
            </w:r>
            <w:r w:rsidR="00AF7EDC">
              <w:t>etter at</w:t>
            </w:r>
            <w:r w:rsidR="00A10488">
              <w:t xml:space="preserve"> </w:t>
            </w:r>
            <w:r w:rsidR="004B3D59">
              <w:t xml:space="preserve">§ 19 </w:t>
            </w:r>
            <w:r w:rsidR="00AF7EDC">
              <w:t>sjette ledd er opphevet.</w:t>
            </w:r>
          </w:p>
          <w:p w14:paraId="1EF32634" w14:textId="77777777" w:rsidR="00A10488" w:rsidRDefault="00A10488" w:rsidP="00465363"/>
          <w:p w14:paraId="51AA987A" w14:textId="77777777" w:rsidR="00B01472" w:rsidRPr="00AE45C8" w:rsidRDefault="004633FE" w:rsidP="00465363">
            <w:r>
              <w:t xml:space="preserve">Arbeid på land som innebærer </w:t>
            </w:r>
            <w:r w:rsidR="00563BB2">
              <w:t xml:space="preserve">at relevant yrkeskompetanse vedlikeholdes, er et </w:t>
            </w:r>
            <w:r w:rsidR="002B02C4">
              <w:t xml:space="preserve">alternativ etter </w:t>
            </w:r>
            <w:r w:rsidR="003E4CDB">
              <w:t>forskriftens</w:t>
            </w:r>
            <w:r w:rsidR="002B02C4">
              <w:t xml:space="preserve"> § 19 fjerde ledd bokstav </w:t>
            </w:r>
            <w:r w:rsidR="00FA165A">
              <w:t>a</w:t>
            </w:r>
            <w:r w:rsidR="00AD20E9">
              <w:t>,</w:t>
            </w:r>
            <w:r w:rsidR="00FA165A">
              <w:t xml:space="preserve"> </w:t>
            </w:r>
            <w:r w:rsidR="00840C3B">
              <w:t xml:space="preserve">der det </w:t>
            </w:r>
            <w:r w:rsidR="00AD20E9">
              <w:t xml:space="preserve">er </w:t>
            </w:r>
            <w:r w:rsidR="00840C3B">
              <w:t xml:space="preserve">et alternativ </w:t>
            </w:r>
            <w:r w:rsidR="00B70DEE">
              <w:t xml:space="preserve">for vedlikehold </w:t>
            </w:r>
            <w:r w:rsidR="002400CD">
              <w:t xml:space="preserve">av yrkeskompetanse </w:t>
            </w:r>
            <w:r w:rsidR="00840C3B">
              <w:t xml:space="preserve">at det </w:t>
            </w:r>
            <w:r w:rsidR="00FB56DB">
              <w:t xml:space="preserve">i løpet av de siste fem år </w:t>
            </w:r>
            <w:r w:rsidR="00840C3B">
              <w:t>er</w:t>
            </w:r>
            <w:r w:rsidR="00EF48CD">
              <w:t xml:space="preserve"> utført </w:t>
            </w:r>
            <w:r w:rsidR="00EF48CD" w:rsidRPr="00AE45C8">
              <w:t>funksjoner som er</w:t>
            </w:r>
          </w:p>
          <w:p w14:paraId="2C6A8902" w14:textId="18D5072A" w:rsidR="00777BAB" w:rsidRDefault="002006D2" w:rsidP="00465363">
            <w:r w:rsidRPr="00B61E8C">
              <w:t>l</w:t>
            </w:r>
            <w:r w:rsidR="00EF48CD" w:rsidRPr="00B61E8C">
              <w:t xml:space="preserve">ikeverdig </w:t>
            </w:r>
            <w:r w:rsidR="00EF48CD" w:rsidRPr="00AE45C8">
              <w:t>med far</w:t>
            </w:r>
            <w:r w:rsidR="00FB56DB" w:rsidRPr="00AE45C8">
              <w:t>tstid</w:t>
            </w:r>
            <w:r w:rsidR="00FB56DB">
              <w:t xml:space="preserve"> med gyldig kompetansesertifikat.</w:t>
            </w:r>
            <w:r w:rsidR="000F3926">
              <w:t xml:space="preserve"> </w:t>
            </w:r>
          </w:p>
          <w:p w14:paraId="59BD1766" w14:textId="77777777" w:rsidR="00777BAB" w:rsidRDefault="00777BAB" w:rsidP="00465363"/>
          <w:p w14:paraId="60F02F91" w14:textId="7DEF2075" w:rsidR="00E26578" w:rsidRDefault="00EB5A9E" w:rsidP="00465363">
            <w:r>
              <w:t>Se også forskriftens § 16 niende ledd</w:t>
            </w:r>
            <w:r w:rsidR="004F5359">
              <w:t>, hvor det står at «</w:t>
            </w:r>
            <w:r w:rsidR="005A2C70">
              <w:t xml:space="preserve">annen </w:t>
            </w:r>
            <w:r w:rsidR="005A2C70" w:rsidRPr="00AE45C8">
              <w:t>praksis som kan likestilles med relevant fartstid</w:t>
            </w:r>
            <w:r w:rsidR="005A2C70" w:rsidRPr="001A3EFB">
              <w:t>,</w:t>
            </w:r>
            <w:r w:rsidR="005A2C70">
              <w:t xml:space="preserve"> herunder sjømilitær fartstid, kan anses som fartstid</w:t>
            </w:r>
            <w:r w:rsidR="003E4CDB">
              <w:t>»</w:t>
            </w:r>
            <w:r w:rsidR="005A2C70">
              <w:t xml:space="preserve">. </w:t>
            </w:r>
          </w:p>
          <w:p w14:paraId="03D32072" w14:textId="77777777" w:rsidR="00ED35EB" w:rsidRDefault="00ED35EB" w:rsidP="00465363"/>
          <w:p w14:paraId="57607C49" w14:textId="7E468505" w:rsidR="00544947" w:rsidRDefault="00544947" w:rsidP="005449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Det </w:t>
            </w:r>
            <w:r w:rsidR="003E4CDB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er i henhold til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STCW avsnitt A-I/11.</w:t>
            </w:r>
            <w:r w:rsidR="00D43B90">
              <w:rPr>
                <w:rStyle w:val="normaltextrun"/>
                <w:rFonts w:ascii="Calibri" w:hAnsi="Calibri" w:cs="Calibri"/>
                <w:sz w:val="22"/>
                <w:szCs w:val="22"/>
              </w:rPr>
              <w:t>1.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2 at fortsatt yrkesmessig kompetanse som påkrevd </w:t>
            </w:r>
            <w:r w:rsidR="00583C79">
              <w:rPr>
                <w:rStyle w:val="normaltextrun"/>
                <w:rFonts w:ascii="Calibri" w:hAnsi="Calibri" w:cs="Calibri"/>
                <w:sz w:val="22"/>
                <w:szCs w:val="22"/>
              </w:rPr>
              <w:t>etter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regel I/11, kan fastsettes ved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D95424F" w14:textId="22DF580F" w:rsidR="00653E67" w:rsidRDefault="00544947" w:rsidP="0054494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utføring av funksjoner som betraktes å være tilsvarende den fartstiden som kreves i avsnitt A-I/11.1.1.</w:t>
            </w:r>
          </w:p>
          <w:p w14:paraId="1ABF53DA" w14:textId="77777777" w:rsidR="00ED35EB" w:rsidRDefault="00ED35EB" w:rsidP="0054494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14:paraId="1F6E3683" w14:textId="77777777" w:rsidR="00ED35EB" w:rsidRDefault="005C216C" w:rsidP="0054494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</w:t>
            </w:r>
            <w:r w:rsidR="00ED35EB">
              <w:rPr>
                <w:rStyle w:val="normaltextrun"/>
                <w:rFonts w:ascii="Calibri" w:hAnsi="Calibri" w:cs="Calibri"/>
                <w:sz w:val="22"/>
                <w:szCs w:val="22"/>
              </w:rPr>
              <w:t>jøfartsdirektoratet er i ferd med å utarbeid</w:t>
            </w:r>
            <w:r w:rsidR="009960DF">
              <w:rPr>
                <w:rStyle w:val="normaltextrun"/>
                <w:rFonts w:ascii="Calibri" w:hAnsi="Calibri" w:cs="Calibri"/>
                <w:sz w:val="22"/>
                <w:szCs w:val="22"/>
              </w:rPr>
              <w:t>e</w:t>
            </w:r>
            <w:r w:rsidR="00ED35EB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B4325F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en veiledning om </w:t>
            </w:r>
            <w:r w:rsidR="003C56FF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hvordan </w:t>
            </w:r>
            <w:r w:rsidR="00B626E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man kan </w:t>
            </w:r>
            <w:r w:rsidR="006431A5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oppnå </w:t>
            </w:r>
            <w:r w:rsidR="00EE6069">
              <w:rPr>
                <w:rStyle w:val="normaltextrun"/>
                <w:rFonts w:ascii="Calibri" w:hAnsi="Calibri" w:cs="Calibri"/>
                <w:sz w:val="22"/>
                <w:szCs w:val="22"/>
              </w:rPr>
              <w:t>«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likeverdig fartstid</w:t>
            </w:r>
            <w:r w:rsidR="00EE6069">
              <w:rPr>
                <w:rStyle w:val="normaltextrun"/>
                <w:rFonts w:ascii="Calibri" w:hAnsi="Calibri" w:cs="Calibri"/>
                <w:sz w:val="22"/>
                <w:szCs w:val="22"/>
              </w:rPr>
              <w:t>»</w:t>
            </w:r>
            <w:r w:rsidR="00137FAD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etter </w:t>
            </w:r>
            <w:r w:rsidR="00160998">
              <w:rPr>
                <w:rStyle w:val="normaltextrun"/>
                <w:rFonts w:ascii="Calibri" w:hAnsi="Calibri" w:cs="Calibri"/>
                <w:sz w:val="22"/>
                <w:szCs w:val="22"/>
              </w:rPr>
              <w:t>forskriftens § 19 fjerde ledd og § 16 niende ledd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  <w:r w:rsidR="004A4F96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Selv om denne muligheten ikke er ny, ser </w:t>
            </w:r>
            <w:r w:rsidR="004A4F96">
              <w:rPr>
                <w:rStyle w:val="normaltextrun"/>
                <w:rFonts w:ascii="Calibri" w:hAnsi="Calibri" w:cs="Calibri"/>
                <w:sz w:val="22"/>
                <w:szCs w:val="22"/>
              </w:rPr>
              <w:lastRenderedPageBreak/>
              <w:t>direktoratet at dette er et behov i næringen.</w:t>
            </w:r>
            <w:r w:rsidR="00565BC2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FF46AE8" w14:textId="77777777" w:rsidR="00DF5B83" w:rsidRDefault="00DF5B83" w:rsidP="0054494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14:paraId="6856231D" w14:textId="287B0D4E" w:rsidR="00DF5B83" w:rsidRPr="00544947" w:rsidRDefault="00444197" w:rsidP="005449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Sjøfartsd</w:t>
            </w:r>
            <w:r w:rsidR="00DF5B83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irektoratet deltar også i arbeidet med </w:t>
            </w:r>
            <w:r w:rsidR="00023B19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mulige endringer i STCW </w:t>
            </w:r>
            <w:r w:rsidR="00CB21F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med tanke på </w:t>
            </w:r>
            <w:r w:rsidR="005214B4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ytterligere fleksibilitet ved fornyelse av </w:t>
            </w:r>
            <w:r w:rsidR="00524557">
              <w:rPr>
                <w:rStyle w:val="normaltextrun"/>
                <w:rFonts w:ascii="Calibri" w:hAnsi="Calibri" w:cs="Calibri"/>
                <w:sz w:val="22"/>
                <w:szCs w:val="22"/>
              </w:rPr>
              <w:t>bl.a. kompetanse</w:t>
            </w:r>
            <w:r w:rsidR="00B14FED">
              <w:rPr>
                <w:rStyle w:val="normaltextrun"/>
                <w:rFonts w:ascii="Calibri" w:hAnsi="Calibri" w:cs="Calibri"/>
                <w:sz w:val="22"/>
                <w:szCs w:val="22"/>
              </w:rPr>
              <w:t>sertifikater</w:t>
            </w:r>
            <w:r w:rsidR="00D322C6">
              <w:rPr>
                <w:rStyle w:val="normaltextrun"/>
                <w:rFonts w:ascii="Calibri" w:hAnsi="Calibri" w:cs="Calibri"/>
                <w:sz w:val="22"/>
                <w:szCs w:val="22"/>
              </w:rPr>
              <w:t>, og direktoratet har fokus på arbeidet med å rekruttere og beholde kvinner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til sjøs</w:t>
            </w:r>
            <w:r w:rsidR="00B14FED"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B504C1" w14:paraId="0E7DB2DA" w14:textId="77777777" w:rsidTr="003D293B">
        <w:tc>
          <w:tcPr>
            <w:tcW w:w="562" w:type="dxa"/>
          </w:tcPr>
          <w:p w14:paraId="370129C5" w14:textId="33CEFF60" w:rsidR="0028165D" w:rsidRDefault="006B13AD" w:rsidP="00465363">
            <w:r>
              <w:lastRenderedPageBreak/>
              <w:t xml:space="preserve"> </w:t>
            </w:r>
            <w:r w:rsidR="00163ECD">
              <w:t>8</w:t>
            </w:r>
          </w:p>
        </w:tc>
        <w:tc>
          <w:tcPr>
            <w:tcW w:w="1985" w:type="dxa"/>
          </w:tcPr>
          <w:p w14:paraId="42AC44DB" w14:textId="44DDC8F4" w:rsidR="0028165D" w:rsidRDefault="000A1105" w:rsidP="00465363">
            <w:r>
              <w:t>Norges Fiskarlag</w:t>
            </w:r>
          </w:p>
        </w:tc>
        <w:tc>
          <w:tcPr>
            <w:tcW w:w="3260" w:type="dxa"/>
          </w:tcPr>
          <w:p w14:paraId="78A5E447" w14:textId="77777777" w:rsidR="006F6E87" w:rsidRPr="00BC6067" w:rsidRDefault="006F6E87" w:rsidP="006F6E87">
            <w:pPr>
              <w:rPr>
                <w:u w:val="single"/>
              </w:rPr>
            </w:pPr>
            <w:r w:rsidRPr="00BC6067">
              <w:rPr>
                <w:u w:val="single"/>
              </w:rPr>
              <w:t>Til</w:t>
            </w:r>
            <w:r>
              <w:rPr>
                <w:u w:val="single"/>
              </w:rPr>
              <w:t xml:space="preserve"> forslaget om opphevelse av</w:t>
            </w:r>
            <w:r w:rsidRPr="00BC6067">
              <w:rPr>
                <w:u w:val="single"/>
              </w:rPr>
              <w:t xml:space="preserve"> § 1</w:t>
            </w:r>
            <w:r>
              <w:rPr>
                <w:u w:val="single"/>
              </w:rPr>
              <w:t>9 sjette</w:t>
            </w:r>
            <w:r w:rsidRPr="00BC6067">
              <w:rPr>
                <w:u w:val="single"/>
              </w:rPr>
              <w:t xml:space="preserve"> ledd:</w:t>
            </w:r>
          </w:p>
          <w:p w14:paraId="795C150A" w14:textId="5B795674" w:rsidR="0028165D" w:rsidRDefault="00906D97" w:rsidP="00465363">
            <w:r>
              <w:t>Norges Fiskarlag mener at f</w:t>
            </w:r>
            <w:r w:rsidR="00277D9C">
              <w:t>orslaget om opphevelse av bestemmelsen bør vurderes nærmere</w:t>
            </w:r>
            <w:r w:rsidR="000D4DB4">
              <w:t xml:space="preserve"> mht. fiskeskippersertifikatene. Muligheten til </w:t>
            </w:r>
            <w:r w:rsidR="009333CA">
              <w:t>å søke om sertifikat av lavere klasse ved mangel av nødvendig fartsti</w:t>
            </w:r>
            <w:r w:rsidR="00A55D90">
              <w:t xml:space="preserve">d, altså at yrkeskompetanse ikke er tilstrekkelig vedlikeholdt, har vært en fin mulighet </w:t>
            </w:r>
            <w:r w:rsidR="00A719A9">
              <w:t>for</w:t>
            </w:r>
            <w:r w:rsidR="00414113">
              <w:t xml:space="preserve"> å</w:t>
            </w:r>
            <w:r w:rsidR="00A719A9">
              <w:t xml:space="preserve"> </w:t>
            </w:r>
            <w:r w:rsidR="0078512F">
              <w:t>k</w:t>
            </w:r>
            <w:r w:rsidR="00A719A9">
              <w:t>valifiser</w:t>
            </w:r>
            <w:r w:rsidR="0078512F">
              <w:t>e seg på nytt</w:t>
            </w:r>
            <w:r w:rsidR="00A719A9">
              <w:t>.</w:t>
            </w:r>
          </w:p>
          <w:p w14:paraId="1D491C0C" w14:textId="77777777" w:rsidR="003C51E1" w:rsidRDefault="003C51E1" w:rsidP="00465363"/>
          <w:p w14:paraId="65DA5AAD" w14:textId="147BBC8A" w:rsidR="00A719A9" w:rsidRDefault="00A719A9" w:rsidP="00465363">
            <w:r>
              <w:t>D</w:t>
            </w:r>
            <w:r w:rsidR="00BF1BD7">
              <w:t xml:space="preserve">et fremstår som om fiskeskippersertifikatene ikke er direkte omfattet av 2008/106/EF, og sertifikatene er ikke omfattet av </w:t>
            </w:r>
            <w:r w:rsidR="00326DB6">
              <w:t>STCW</w:t>
            </w:r>
            <w:r w:rsidR="00687234">
              <w:t>. Med bakgrunn i dette mener</w:t>
            </w:r>
            <w:r w:rsidR="00326DB6">
              <w:t xml:space="preserve"> Norges Fiskarlag</w:t>
            </w:r>
            <w:r w:rsidR="0096498A">
              <w:t xml:space="preserve"> at bestemmelsen kan og bør videreføres.</w:t>
            </w:r>
          </w:p>
        </w:tc>
        <w:tc>
          <w:tcPr>
            <w:tcW w:w="3255" w:type="dxa"/>
          </w:tcPr>
          <w:p w14:paraId="50EF99F1" w14:textId="77777777" w:rsidR="006F6E87" w:rsidRPr="00BC6067" w:rsidRDefault="006F6E87" w:rsidP="006F6E87">
            <w:pPr>
              <w:rPr>
                <w:u w:val="single"/>
              </w:rPr>
            </w:pPr>
            <w:r w:rsidRPr="00BC6067">
              <w:rPr>
                <w:u w:val="single"/>
              </w:rPr>
              <w:t>Til</w:t>
            </w:r>
            <w:r>
              <w:rPr>
                <w:u w:val="single"/>
              </w:rPr>
              <w:t xml:space="preserve"> forslaget om opphevelse av</w:t>
            </w:r>
            <w:r w:rsidRPr="00BC6067">
              <w:rPr>
                <w:u w:val="single"/>
              </w:rPr>
              <w:t xml:space="preserve"> § 1</w:t>
            </w:r>
            <w:r>
              <w:rPr>
                <w:u w:val="single"/>
              </w:rPr>
              <w:t>9 sjette</w:t>
            </w:r>
            <w:r w:rsidRPr="00BC6067">
              <w:rPr>
                <w:u w:val="single"/>
              </w:rPr>
              <w:t xml:space="preserve"> ledd:</w:t>
            </w:r>
          </w:p>
          <w:p w14:paraId="3F71A190" w14:textId="2BACC640" w:rsidR="00112704" w:rsidRDefault="00286195" w:rsidP="00B02D7E">
            <w:r>
              <w:t>Bestemmelsen fremstår som ubegrunnet</w:t>
            </w:r>
            <w:r w:rsidR="00112704">
              <w:t xml:space="preserve"> </w:t>
            </w:r>
            <w:r w:rsidR="00561881">
              <w:t>og i strid med</w:t>
            </w:r>
            <w:r w:rsidR="000C3538">
              <w:t xml:space="preserve"> </w:t>
            </w:r>
            <w:r w:rsidR="00B71715">
              <w:t xml:space="preserve">kravene til </w:t>
            </w:r>
            <w:r w:rsidR="005D51AB">
              <w:t>vedlikehold av yrkeskompetanse</w:t>
            </w:r>
            <w:r w:rsidR="00CD55B1">
              <w:t xml:space="preserve"> i </w:t>
            </w:r>
            <w:r w:rsidR="005B3ED0">
              <w:t xml:space="preserve">§ 19 </w:t>
            </w:r>
            <w:r w:rsidR="00CD55B1">
              <w:t>fjerde ledd</w:t>
            </w:r>
            <w:r w:rsidR="005D51AB">
              <w:t xml:space="preserve">. </w:t>
            </w:r>
          </w:p>
          <w:p w14:paraId="6841AEB7" w14:textId="77777777" w:rsidR="00112704" w:rsidRDefault="00112704" w:rsidP="00B02D7E"/>
          <w:p w14:paraId="457FB26F" w14:textId="7E46212A" w:rsidR="0028165D" w:rsidRDefault="002777B4" w:rsidP="00B02D7E">
            <w:r>
              <w:t xml:space="preserve">Direktoratet mener </w:t>
            </w:r>
            <w:r w:rsidR="00561881">
              <w:t xml:space="preserve">derfor </w:t>
            </w:r>
            <w:r>
              <w:t xml:space="preserve">at det </w:t>
            </w:r>
            <w:r w:rsidR="00561881">
              <w:t>ikke er grunnlag for å beholde</w:t>
            </w:r>
            <w:r w:rsidR="00FE4869">
              <w:t xml:space="preserve"> </w:t>
            </w:r>
            <w:r w:rsidR="00A03702">
              <w:t xml:space="preserve">§ 19 </w:t>
            </w:r>
            <w:r w:rsidR="00561881">
              <w:t>s</w:t>
            </w:r>
            <w:r w:rsidR="001B0C1D">
              <w:t>jette ledd sel</w:t>
            </w:r>
            <w:r w:rsidR="00113D44">
              <w:t xml:space="preserve">v om fiskeskippersertifikatene ikke er omfattet av </w:t>
            </w:r>
            <w:r w:rsidR="00457E57">
              <w:t>direktiv 2008/106/EF</w:t>
            </w:r>
            <w:r w:rsidR="0018418E">
              <w:t xml:space="preserve"> </w:t>
            </w:r>
            <w:r w:rsidR="00113D44">
              <w:t>og STCW.</w:t>
            </w:r>
          </w:p>
          <w:p w14:paraId="2BBA47FF" w14:textId="77777777" w:rsidR="007A4133" w:rsidRDefault="007A4133" w:rsidP="00B02D7E"/>
          <w:p w14:paraId="04D585E1" w14:textId="67866893" w:rsidR="007A4133" w:rsidRDefault="007A4133" w:rsidP="00B02D7E"/>
        </w:tc>
      </w:tr>
      <w:tr w:rsidR="00B504C1" w14:paraId="72CFBAD7" w14:textId="77777777" w:rsidTr="003D293B">
        <w:tc>
          <w:tcPr>
            <w:tcW w:w="562" w:type="dxa"/>
          </w:tcPr>
          <w:p w14:paraId="286EECC5" w14:textId="2727DDEB" w:rsidR="0028165D" w:rsidRDefault="006B13AD" w:rsidP="00465363">
            <w:r>
              <w:t xml:space="preserve"> </w:t>
            </w:r>
            <w:r w:rsidR="000A1105">
              <w:t>9</w:t>
            </w:r>
          </w:p>
        </w:tc>
        <w:tc>
          <w:tcPr>
            <w:tcW w:w="1985" w:type="dxa"/>
          </w:tcPr>
          <w:p w14:paraId="427E060D" w14:textId="4165068E" w:rsidR="0028165D" w:rsidRDefault="000A1105" w:rsidP="00465363">
            <w:r>
              <w:t>Pelagisk Forening</w:t>
            </w:r>
          </w:p>
        </w:tc>
        <w:tc>
          <w:tcPr>
            <w:tcW w:w="3260" w:type="dxa"/>
          </w:tcPr>
          <w:p w14:paraId="77BAFB4F" w14:textId="4F73771D" w:rsidR="0028165D" w:rsidRDefault="00F15B30" w:rsidP="00465363">
            <w:r>
              <w:t>Pelagisk Forening har i</w:t>
            </w:r>
            <w:r w:rsidR="00082E46">
              <w:t xml:space="preserve">ngen </w:t>
            </w:r>
            <w:r>
              <w:t>innvendinger til forslaget.</w:t>
            </w:r>
          </w:p>
        </w:tc>
        <w:tc>
          <w:tcPr>
            <w:tcW w:w="3255" w:type="dxa"/>
          </w:tcPr>
          <w:p w14:paraId="2E955682" w14:textId="77777777" w:rsidR="00082E46" w:rsidRDefault="00082E46" w:rsidP="00082E46">
            <w:r>
              <w:t>Innspillet er notert.</w:t>
            </w:r>
          </w:p>
          <w:p w14:paraId="5B47F6B1" w14:textId="77777777" w:rsidR="0028165D" w:rsidRDefault="0028165D" w:rsidP="00B02D7E"/>
        </w:tc>
      </w:tr>
      <w:tr w:rsidR="00B504C1" w14:paraId="5E2446FE" w14:textId="77777777" w:rsidTr="003D293B">
        <w:tc>
          <w:tcPr>
            <w:tcW w:w="562" w:type="dxa"/>
          </w:tcPr>
          <w:p w14:paraId="2CD44C99" w14:textId="1F3EDA34" w:rsidR="0028165D" w:rsidRDefault="000A1105" w:rsidP="00465363">
            <w:r>
              <w:t>1</w:t>
            </w:r>
            <w:r w:rsidR="008924B4">
              <w:t xml:space="preserve">0    </w:t>
            </w:r>
          </w:p>
        </w:tc>
        <w:tc>
          <w:tcPr>
            <w:tcW w:w="1985" w:type="dxa"/>
          </w:tcPr>
          <w:p w14:paraId="678B557B" w14:textId="1EE8EC79" w:rsidR="0028165D" w:rsidRDefault="00921C5C" w:rsidP="00465363">
            <w:r>
              <w:t>Skipskontrollens Forening</w:t>
            </w:r>
            <w:r w:rsidR="00CA6AAD">
              <w:t xml:space="preserve"> (S</w:t>
            </w:r>
            <w:r w:rsidR="00906D97">
              <w:t>K</w:t>
            </w:r>
            <w:r w:rsidR="00CA6AAD">
              <w:t>F)</w:t>
            </w:r>
          </w:p>
        </w:tc>
        <w:tc>
          <w:tcPr>
            <w:tcW w:w="3260" w:type="dxa"/>
          </w:tcPr>
          <w:p w14:paraId="5A7317EE" w14:textId="77777777" w:rsidR="006F6E87" w:rsidRPr="00BC6067" w:rsidRDefault="006F6E87" w:rsidP="006F6E87">
            <w:pPr>
              <w:rPr>
                <w:u w:val="single"/>
              </w:rPr>
            </w:pPr>
            <w:r w:rsidRPr="00BC6067">
              <w:rPr>
                <w:u w:val="single"/>
              </w:rPr>
              <w:t>Til</w:t>
            </w:r>
            <w:r>
              <w:rPr>
                <w:u w:val="single"/>
              </w:rPr>
              <w:t xml:space="preserve"> forslaget om opphevelse av</w:t>
            </w:r>
            <w:r w:rsidRPr="00BC6067">
              <w:rPr>
                <w:u w:val="single"/>
              </w:rPr>
              <w:t xml:space="preserve"> § 1</w:t>
            </w:r>
            <w:r>
              <w:rPr>
                <w:u w:val="single"/>
              </w:rPr>
              <w:t>9 sjette</w:t>
            </w:r>
            <w:r w:rsidRPr="00BC6067">
              <w:rPr>
                <w:u w:val="single"/>
              </w:rPr>
              <w:t xml:space="preserve"> ledd:</w:t>
            </w:r>
          </w:p>
          <w:p w14:paraId="3EED5BD0" w14:textId="2BCB9144" w:rsidR="0028165D" w:rsidRDefault="00434638" w:rsidP="00465363">
            <w:r>
              <w:t xml:space="preserve">SKF mener at det må være en misforståelse </w:t>
            </w:r>
            <w:r w:rsidR="00453DE9">
              <w:t>at</w:t>
            </w:r>
            <w:r w:rsidR="00D94A00">
              <w:t xml:space="preserve"> </w:t>
            </w:r>
            <w:r w:rsidR="003E4CDB">
              <w:t>forskriftens</w:t>
            </w:r>
            <w:r w:rsidR="00D94A00">
              <w:t xml:space="preserve"> § 19 sjette ledd er i strid med </w:t>
            </w:r>
            <w:r w:rsidR="007C2D8F">
              <w:t>direktiv 2008/106/EF</w:t>
            </w:r>
            <w:r w:rsidR="008C30B5">
              <w:t xml:space="preserve">, og at </w:t>
            </w:r>
            <w:r w:rsidR="004E771E">
              <w:t>forslaget ikke er et tiltak for å beholde dyktige ansatte og rekruttere</w:t>
            </w:r>
            <w:r w:rsidR="00232044">
              <w:t xml:space="preserve"> nye ansatte med maritime sertifikater</w:t>
            </w:r>
            <w:r w:rsidR="007F1CBD">
              <w:t>.</w:t>
            </w:r>
          </w:p>
          <w:p w14:paraId="36BD4D9D" w14:textId="3FE60B8B" w:rsidR="007F1CBD" w:rsidRDefault="007F1CBD" w:rsidP="00465363">
            <w:r>
              <w:t xml:space="preserve">Etter SKFs mening praktiserer Tyskland og UK samme ordning som </w:t>
            </w:r>
            <w:r w:rsidR="003278AF">
              <w:t xml:space="preserve">Sjøfartsdirektoratet har gjort i mange år, uten å bryte med </w:t>
            </w:r>
            <w:r w:rsidR="00457E57">
              <w:t>direktiv 2008/106/EF</w:t>
            </w:r>
            <w:r w:rsidR="0042714C">
              <w:t xml:space="preserve"> og STCW</w:t>
            </w:r>
            <w:r w:rsidR="003278AF">
              <w:t xml:space="preserve">, </w:t>
            </w:r>
            <w:r w:rsidR="003278AF">
              <w:lastRenderedPageBreak/>
              <w:t xml:space="preserve">og viser </w:t>
            </w:r>
            <w:r w:rsidR="0080137D">
              <w:t>i den forbindelse til følgende lenker:</w:t>
            </w:r>
          </w:p>
          <w:p w14:paraId="57EFB6AF" w14:textId="77777777" w:rsidR="0080137D" w:rsidRDefault="00B504C1" w:rsidP="00B504C1">
            <w:r>
              <w:t xml:space="preserve">- </w:t>
            </w:r>
            <w:hyperlink r:id="rId5" w:history="1">
              <w:r w:rsidRPr="00F56546">
                <w:rPr>
                  <w:rStyle w:val="Hyperkobling"/>
                  <w:rFonts w:ascii="Calibri" w:hAnsi="Calibri" w:cs="Calibri"/>
                </w:rPr>
                <w:t>https://eur-lex.europa.eu/legal-content/EN/TXT/?uri=celex%3A32008L0106</w:t>
              </w:r>
            </w:hyperlink>
          </w:p>
          <w:p w14:paraId="72E7CD26" w14:textId="1C049D58" w:rsidR="00B504C1" w:rsidRDefault="00B504C1" w:rsidP="00B504C1">
            <w:pPr>
              <w:rPr>
                <w:rFonts w:ascii="Calibri" w:hAnsi="Calibri" w:cs="Calibri"/>
                <w:color w:val="000000"/>
              </w:rPr>
            </w:pPr>
            <w:r>
              <w:t xml:space="preserve">- </w:t>
            </w:r>
            <w:hyperlink r:id="rId6" w:anchor="re-entering" w:history="1">
              <w:r w:rsidRPr="00F56546">
                <w:rPr>
                  <w:rStyle w:val="Hyperkobling"/>
                  <w:rFonts w:ascii="Calibri" w:hAnsi="Calibri" w:cs="Calibri"/>
                </w:rPr>
                <w:t>https://www.deutsche-flagge.de/en/competency/certificates/extension#re-entering</w:t>
              </w:r>
            </w:hyperlink>
            <w:r>
              <w:rPr>
                <w:rFonts w:ascii="Calibri" w:hAnsi="Calibri" w:cs="Calibri"/>
                <w:color w:val="000000"/>
              </w:rPr>
              <w:t>)</w:t>
            </w:r>
            <w:r w:rsidR="006B0807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563817E8" w14:textId="77777777" w:rsidR="00496843" w:rsidRDefault="00496843" w:rsidP="00B504C1">
            <w:pPr>
              <w:rPr>
                <w:rFonts w:ascii="Calibri" w:hAnsi="Calibri" w:cs="Calibri"/>
                <w:color w:val="000000"/>
              </w:rPr>
            </w:pPr>
          </w:p>
          <w:p w14:paraId="74E2C5F9" w14:textId="0A0C4AC7" w:rsidR="003E340A" w:rsidRDefault="00692C6F" w:rsidP="00B504C1">
            <w:r>
              <w:t>Etter SKFs mening</w:t>
            </w:r>
            <w:r w:rsidR="00376DF1">
              <w:t xml:space="preserve"> </w:t>
            </w:r>
            <w:r w:rsidR="000225D0">
              <w:t xml:space="preserve">gjennomfører forskriftens § 19 sjette ledd </w:t>
            </w:r>
            <w:r w:rsidR="00515C6A">
              <w:t xml:space="preserve">den siste delen av </w:t>
            </w:r>
            <w:r w:rsidR="00BD14FC">
              <w:t>STCW avsnitt A-I/11</w:t>
            </w:r>
            <w:r w:rsidR="00F7354E">
              <w:t>.1.5</w:t>
            </w:r>
            <w:r w:rsidR="00515C6A">
              <w:t>, hvor det står</w:t>
            </w:r>
            <w:r w:rsidR="00667233">
              <w:t xml:space="preserve"> </w:t>
            </w:r>
            <w:r w:rsidR="0057695A">
              <w:t>«</w:t>
            </w:r>
            <w:r w:rsidR="00667233">
              <w:t>eller med lavere offisersrang enn den som sertifikatet innehas er gyldig for, rett før vedkommende får slik rang som sertifikatet er gyldig for</w:t>
            </w:r>
            <w:r w:rsidR="00D22F5F">
              <w:t>».</w:t>
            </w:r>
            <w:r w:rsidR="00575B92">
              <w:t xml:space="preserve"> Begrunnelsen er at </w:t>
            </w:r>
            <w:r w:rsidR="009273B6">
              <w:t xml:space="preserve">§ 19 sjette ledd i realiteten </w:t>
            </w:r>
            <w:r w:rsidR="002B028A">
              <w:t>innebær</w:t>
            </w:r>
            <w:r w:rsidR="009273B6">
              <w:t>er et nasjonalt endorsement/påtegning</w:t>
            </w:r>
            <w:r w:rsidR="00DF4871">
              <w:t>, med adgang til å tjenestegjøre i en lavere offisersrang enn den som det opprinnelige sertifikatet</w:t>
            </w:r>
            <w:r w:rsidR="00CA7154">
              <w:t xml:space="preserve"> tilsier at dette er gyldig for, </w:t>
            </w:r>
            <w:r w:rsidR="00F37EB3">
              <w:t xml:space="preserve">men fordi Norge har valgt å kombinere </w:t>
            </w:r>
            <w:r w:rsidR="00CE3653">
              <w:t xml:space="preserve">sertifikat og nasjonalt endorsement i samme dokument blir det i praksis også utstedt </w:t>
            </w:r>
            <w:r w:rsidR="003E340A">
              <w:t>et nytt sertifikat.</w:t>
            </w:r>
          </w:p>
          <w:p w14:paraId="04318461" w14:textId="77777777" w:rsidR="00496843" w:rsidRDefault="00496843" w:rsidP="00B504C1"/>
          <w:p w14:paraId="30DAF52C" w14:textId="29CA2DB8" w:rsidR="00B504C1" w:rsidRDefault="005C5777" w:rsidP="00B504C1">
            <w:r>
              <w:t>Basert på dette</w:t>
            </w:r>
            <w:r w:rsidR="004D16DF">
              <w:t xml:space="preserve"> er ikke EMSAs forståelse </w:t>
            </w:r>
            <w:r w:rsidR="00CE4312">
              <w:t xml:space="preserve">nødvendigvis mer i tråd med </w:t>
            </w:r>
            <w:r w:rsidR="00457E57">
              <w:t>direktiv 2008/106/EF</w:t>
            </w:r>
            <w:r w:rsidR="00A32AC7">
              <w:t xml:space="preserve"> </w:t>
            </w:r>
            <w:r w:rsidR="00F57235">
              <w:t>artikkel 12 (1)(b)</w:t>
            </w:r>
            <w:r w:rsidR="00EC321A">
              <w:t>, jf. STCW avsnitt A-</w:t>
            </w:r>
            <w:r w:rsidR="00666062">
              <w:t>I</w:t>
            </w:r>
            <w:r w:rsidR="00EC321A">
              <w:t>/11, jf. regel I</w:t>
            </w:r>
            <w:r w:rsidR="00666062">
              <w:t>/11.1.</w:t>
            </w:r>
            <w:r w:rsidR="00385A4D">
              <w:t xml:space="preserve"> </w:t>
            </w:r>
            <w:r w:rsidR="009D3474">
              <w:t>U</w:t>
            </w:r>
            <w:r w:rsidR="00666062">
              <w:t>middelbart kan det synes som at Norges valg om å utstede</w:t>
            </w:r>
            <w:r w:rsidR="002C7CED">
              <w:t xml:space="preserve"> sertifikat og nasjonalt endorsement </w:t>
            </w:r>
            <w:r w:rsidR="00DA1FDA">
              <w:t>i ett og samme dokument kan ha skapt grunnlag for misforståelse hos EMSA.</w:t>
            </w:r>
            <w:r w:rsidR="00496843">
              <w:t xml:space="preserve"> </w:t>
            </w:r>
            <w:r w:rsidR="00402D26" w:rsidRPr="00AE45C8">
              <w:t>Uansett vil EMSA</w:t>
            </w:r>
            <w:r w:rsidR="00DF4D36" w:rsidRPr="00AE45C8">
              <w:t xml:space="preserve">s forståelse fremstå svært merkelig om en tar høyde for de ulike muligheter som det åpnes for </w:t>
            </w:r>
            <w:r w:rsidR="001139A3" w:rsidRPr="00AE45C8">
              <w:t xml:space="preserve">i STCW avsnitt </w:t>
            </w:r>
            <w:r w:rsidR="00D66B23" w:rsidRPr="00AE45C8">
              <w:t>A-I/11</w:t>
            </w:r>
            <w:r w:rsidR="00BF34D9" w:rsidRPr="00AE45C8">
              <w:t>.1.2</w:t>
            </w:r>
            <w:r w:rsidR="00BD220D" w:rsidRPr="00AE45C8">
              <w:t xml:space="preserve"> </w:t>
            </w:r>
            <w:r w:rsidR="00C26EA1" w:rsidRPr="00AE45C8">
              <w:t>–</w:t>
            </w:r>
            <w:r w:rsidR="00BD220D" w:rsidRPr="00AE45C8">
              <w:t xml:space="preserve"> </w:t>
            </w:r>
            <w:r w:rsidR="00C26EA1" w:rsidRPr="00AE45C8">
              <w:t>A-I/11.1.4</w:t>
            </w:r>
            <w:r w:rsidR="00494C22" w:rsidRPr="00AE45C8">
              <w:t xml:space="preserve">, og videre </w:t>
            </w:r>
            <w:r w:rsidR="002536AE" w:rsidRPr="00AE45C8">
              <w:t xml:space="preserve">vil det </w:t>
            </w:r>
            <w:r w:rsidR="00494C22" w:rsidRPr="00AE45C8">
              <w:t xml:space="preserve">for første </w:t>
            </w:r>
            <w:r w:rsidR="00692F60" w:rsidRPr="00AE45C8">
              <w:t xml:space="preserve">og siste </w:t>
            </w:r>
            <w:r w:rsidR="00494C22" w:rsidRPr="00AE45C8">
              <w:t xml:space="preserve">del av A-I/11.1.5 </w:t>
            </w:r>
            <w:r w:rsidR="0012536D" w:rsidRPr="00AE45C8">
              <w:t>fremstå som totalt overflødig</w:t>
            </w:r>
            <w:r w:rsidR="009A4AE9" w:rsidRPr="00AE45C8">
              <w:t xml:space="preserve"> og litt meningsløs</w:t>
            </w:r>
            <w:r w:rsidR="00EE0733" w:rsidRPr="00AE45C8">
              <w:t>t</w:t>
            </w:r>
            <w:r w:rsidR="009A4AE9" w:rsidRPr="00AE45C8">
              <w:t xml:space="preserve"> når en tar i betraktning de andre alternativene som det åpnes for.</w:t>
            </w:r>
            <w:r w:rsidR="00527BE9">
              <w:t xml:space="preserve"> </w:t>
            </w:r>
            <w:r w:rsidR="00527BE9">
              <w:lastRenderedPageBreak/>
              <w:t xml:space="preserve">Det må absolutt finnes grunnlag for å </w:t>
            </w:r>
            <w:r w:rsidR="00527F85">
              <w:t>utfordre EMSA på denne fortolkningen, og argumentere for den norske tolkningen slik den har vært siden 1998</w:t>
            </w:r>
            <w:r w:rsidR="00231112">
              <w:t xml:space="preserve">. Det kan virke som at det er gjort et valg der det ikke har vært ønskelig å </w:t>
            </w:r>
            <w:r w:rsidR="00A2149D">
              <w:t>utfordre EMSA. Hva som er grunnen er vanskelig å forstå, da det er helt åpenbart at den norske fortolkningen</w:t>
            </w:r>
            <w:r w:rsidR="00E31B4E">
              <w:t xml:space="preserve">, som har vært gjeldende siden 1998, kan forsvares opp mot bestemmelsene i </w:t>
            </w:r>
            <w:r w:rsidR="00457E57">
              <w:t>direktiv 2008/106/EF</w:t>
            </w:r>
            <w:r w:rsidR="00E31B4E">
              <w:t xml:space="preserve"> </w:t>
            </w:r>
            <w:r w:rsidR="004A1F70">
              <w:t>artikkel 12(1)(b), jf. STCW avsnitt A-I/11, jf. regel I</w:t>
            </w:r>
            <w:r w:rsidR="00D16D65">
              <w:t>/11.1</w:t>
            </w:r>
            <w:r w:rsidR="006477B1">
              <w:t xml:space="preserve">, som den fortolkningen som </w:t>
            </w:r>
            <w:r w:rsidR="00774BBD">
              <w:t xml:space="preserve">EMSA presenterer i sin rapport. </w:t>
            </w:r>
          </w:p>
          <w:p w14:paraId="20E224EE" w14:textId="77777777" w:rsidR="00774BBD" w:rsidRDefault="00774BBD" w:rsidP="00B504C1"/>
          <w:p w14:paraId="75BD1F67" w14:textId="77777777" w:rsidR="00774BBD" w:rsidRDefault="00774BBD" w:rsidP="00B504C1">
            <w:r w:rsidRPr="00AE45C8">
              <w:t xml:space="preserve">Så må nok den norske praksisen justeres noe, slik at </w:t>
            </w:r>
            <w:r w:rsidR="00007639" w:rsidRPr="00AE45C8">
              <w:t xml:space="preserve">direktoratet utsteder et nytt dokument som gir adgang </w:t>
            </w:r>
            <w:r w:rsidR="0046293C" w:rsidRPr="00AE45C8">
              <w:t>til å tjenestegjøre i en lavere offisersrang</w:t>
            </w:r>
            <w:r w:rsidR="0036576E" w:rsidRPr="00AE45C8">
              <w:t xml:space="preserve"> enn den vedkommende har hatt i det opprinnelige sertifikatet som ønskes fornyet.</w:t>
            </w:r>
            <w:r w:rsidR="0036576E">
              <w:t xml:space="preserve"> Det betyr at en person med f.eks. D1 ikke kan få utstedt sertifikat som gir </w:t>
            </w:r>
            <w:r w:rsidR="0096376D">
              <w:t xml:space="preserve">direkte </w:t>
            </w:r>
            <w:r w:rsidR="0036576E">
              <w:t>adgang til å være</w:t>
            </w:r>
            <w:r w:rsidR="0096376D">
              <w:t xml:space="preserve"> skip</w:t>
            </w:r>
            <w:r w:rsidR="00FF5559">
              <w:t>sfører, og en med D2 eller D3 ikke kan få utstedt et sertifikat som gir adgang til å være</w:t>
            </w:r>
            <w:r w:rsidR="0036576E">
              <w:t xml:space="preserve"> overstyrmann. Det samme vil også være gjeldende</w:t>
            </w:r>
            <w:r w:rsidR="0004041C">
              <w:t xml:space="preserve"> for innehavere av kompetansesertifikat maskinoffisersklassene</w:t>
            </w:r>
            <w:r w:rsidR="00FA421B">
              <w:t>.</w:t>
            </w:r>
          </w:p>
          <w:p w14:paraId="4D95303C" w14:textId="77777777" w:rsidR="002109E1" w:rsidRDefault="002109E1" w:rsidP="00B504C1"/>
          <w:p w14:paraId="675B4FF5" w14:textId="400BC393" w:rsidR="00FA421B" w:rsidRDefault="00C373D0" w:rsidP="00B504C1">
            <w:r>
              <w:t>Å</w:t>
            </w:r>
            <w:r w:rsidR="00FA421B">
              <w:t xml:space="preserve"> oppheve forskriftens § 19 sjette ledd vil definitivt ikke være den eneste mulighet for å sikre</w:t>
            </w:r>
            <w:r w:rsidR="001B653C">
              <w:t xml:space="preserve"> at norsk regelverk er i samsvar med </w:t>
            </w:r>
            <w:r w:rsidR="00457E57">
              <w:t>direktiv 2008/106/EF</w:t>
            </w:r>
            <w:r w:rsidR="001B653C">
              <w:t xml:space="preserve"> og STCW.</w:t>
            </w:r>
          </w:p>
        </w:tc>
        <w:tc>
          <w:tcPr>
            <w:tcW w:w="3255" w:type="dxa"/>
          </w:tcPr>
          <w:p w14:paraId="178CA568" w14:textId="77777777" w:rsidR="006F6E87" w:rsidRPr="00BC6067" w:rsidRDefault="006F6E87" w:rsidP="006F6E87">
            <w:pPr>
              <w:rPr>
                <w:u w:val="single"/>
              </w:rPr>
            </w:pPr>
            <w:r w:rsidRPr="00BC6067">
              <w:rPr>
                <w:u w:val="single"/>
              </w:rPr>
              <w:lastRenderedPageBreak/>
              <w:t>Til</w:t>
            </w:r>
            <w:r>
              <w:rPr>
                <w:u w:val="single"/>
              </w:rPr>
              <w:t xml:space="preserve"> forslaget om opphevelse av</w:t>
            </w:r>
            <w:r w:rsidRPr="00BC6067">
              <w:rPr>
                <w:u w:val="single"/>
              </w:rPr>
              <w:t xml:space="preserve"> § 1</w:t>
            </w:r>
            <w:r>
              <w:rPr>
                <w:u w:val="single"/>
              </w:rPr>
              <w:t>9 sjette</w:t>
            </w:r>
            <w:r w:rsidRPr="00BC6067">
              <w:rPr>
                <w:u w:val="single"/>
              </w:rPr>
              <w:t xml:space="preserve"> ledd:</w:t>
            </w:r>
          </w:p>
          <w:p w14:paraId="58CD431C" w14:textId="6AB93442" w:rsidR="00D335D7" w:rsidRDefault="00D335D7" w:rsidP="00B02D7E">
            <w:r>
              <w:t xml:space="preserve">Etter direktoratets mening er det ikke et alternativ å beholde </w:t>
            </w:r>
            <w:r w:rsidR="003E4CDB">
              <w:t>forskriftens</w:t>
            </w:r>
            <w:r>
              <w:t xml:space="preserve"> § 19</w:t>
            </w:r>
            <w:r w:rsidR="000B0499">
              <w:t xml:space="preserve"> </w:t>
            </w:r>
            <w:r>
              <w:t xml:space="preserve">sjette ledd fordi bestemmelsen er i strid med direktiv 2008/106/EF og STCW. </w:t>
            </w:r>
          </w:p>
          <w:p w14:paraId="3A22AAB1" w14:textId="77777777" w:rsidR="00D335D7" w:rsidRDefault="00D335D7" w:rsidP="00B02D7E"/>
          <w:p w14:paraId="5A80A8F2" w14:textId="7DFC5066" w:rsidR="0015384D" w:rsidRDefault="00460BBB" w:rsidP="0015384D">
            <w:r>
              <w:t>Bestemmelsen</w:t>
            </w:r>
            <w:r w:rsidR="0015384D">
              <w:t xml:space="preserve"> </w:t>
            </w:r>
            <w:r w:rsidR="00423B1A">
              <w:t>gjør det mulig</w:t>
            </w:r>
            <w:r w:rsidR="0015384D">
              <w:t xml:space="preserve"> å omgå</w:t>
            </w:r>
            <w:r w:rsidR="001F3B37">
              <w:t xml:space="preserve"> kravene til vedlikehold av </w:t>
            </w:r>
            <w:r w:rsidR="009B0092">
              <w:t>yrkeskompetanse i</w:t>
            </w:r>
            <w:r w:rsidR="0015384D">
              <w:t xml:space="preserve"> </w:t>
            </w:r>
            <w:r w:rsidR="00842F57">
              <w:t xml:space="preserve">§ 19 </w:t>
            </w:r>
            <w:r w:rsidR="0015384D">
              <w:t xml:space="preserve">fjerde ledd, og følgelig direktiv 2008/106/EF og STCW. </w:t>
            </w:r>
          </w:p>
          <w:p w14:paraId="2CD92691" w14:textId="0A2A87E2" w:rsidR="0015384D" w:rsidRDefault="0015384D" w:rsidP="0015384D">
            <w:r>
              <w:t xml:space="preserve">I tillegg til at bestemmelsen er i strid med bindende </w:t>
            </w:r>
            <w:r>
              <w:lastRenderedPageBreak/>
              <w:t xml:space="preserve">internasjonalt regelverk, fremstår den som ubegrunnet fordi </w:t>
            </w:r>
            <w:r w:rsidR="005E128C">
              <w:t xml:space="preserve">den </w:t>
            </w:r>
            <w:r>
              <w:t>ikke tar hensyn til de sikkerhetsmessige aspektene ved manglende vedlikehold av kompetanse.</w:t>
            </w:r>
          </w:p>
          <w:p w14:paraId="2A8A547F" w14:textId="77777777" w:rsidR="0015384D" w:rsidRDefault="0015384D" w:rsidP="00B02D7E"/>
          <w:p w14:paraId="451B2825" w14:textId="13226BB2" w:rsidR="0028165D" w:rsidRPr="00AE45C8" w:rsidRDefault="008A51EE" w:rsidP="00B02D7E">
            <w:pPr>
              <w:rPr>
                <w:i/>
                <w:iCs/>
              </w:rPr>
            </w:pPr>
            <w:r>
              <w:t xml:space="preserve">Følgende bestemmelser i </w:t>
            </w:r>
            <w:r w:rsidR="00E23A52">
              <w:t xml:space="preserve">STCW </w:t>
            </w:r>
            <w:r w:rsidR="003D2F84">
              <w:t>er gjennomført, og foreslått gjennomført,</w:t>
            </w:r>
            <w:r w:rsidR="00E23A52">
              <w:t xml:space="preserve"> i </w:t>
            </w:r>
            <w:r w:rsidR="00E23A52" w:rsidRPr="00AE45C8">
              <w:rPr>
                <w:b/>
                <w:bCs/>
                <w:i/>
                <w:iCs/>
              </w:rPr>
              <w:t>forskriftens § 19</w:t>
            </w:r>
            <w:r w:rsidR="003D2F84" w:rsidRPr="00AE45C8">
              <w:rPr>
                <w:b/>
                <w:bCs/>
                <w:i/>
                <w:iCs/>
              </w:rPr>
              <w:t xml:space="preserve"> fjerde ledd</w:t>
            </w:r>
            <w:r w:rsidR="00E23A52" w:rsidRPr="00AE45C8">
              <w:rPr>
                <w:b/>
                <w:bCs/>
                <w:i/>
                <w:iCs/>
              </w:rPr>
              <w:t>:</w:t>
            </w:r>
          </w:p>
          <w:p w14:paraId="2454A235" w14:textId="7764BB0E" w:rsidR="00E23A52" w:rsidRDefault="004A2301" w:rsidP="00B02D7E">
            <w:r>
              <w:t xml:space="preserve">- </w:t>
            </w:r>
            <w:r w:rsidR="009C2B95">
              <w:t>STCW avsnitt A</w:t>
            </w:r>
            <w:r w:rsidR="001415EA">
              <w:t>-I/</w:t>
            </w:r>
            <w:r w:rsidR="009C2B95">
              <w:t>11</w:t>
            </w:r>
            <w:r w:rsidR="001415EA">
              <w:t>.1.1.</w:t>
            </w:r>
            <w:r w:rsidR="005D3B64">
              <w:t>1</w:t>
            </w:r>
            <w:r w:rsidR="001415EA">
              <w:t xml:space="preserve"> gjenfinnes i </w:t>
            </w:r>
            <w:r w:rsidR="00444A9D" w:rsidRPr="00822E88">
              <w:rPr>
                <w:b/>
                <w:bCs/>
                <w:i/>
                <w:iCs/>
              </w:rPr>
              <w:t>bokstav a</w:t>
            </w:r>
            <w:r>
              <w:t>.</w:t>
            </w:r>
          </w:p>
          <w:p w14:paraId="080F9015" w14:textId="6E69000B" w:rsidR="005D3B64" w:rsidRDefault="004A2301" w:rsidP="00B02D7E">
            <w:r>
              <w:t xml:space="preserve">- </w:t>
            </w:r>
            <w:r w:rsidR="005D3B64">
              <w:t>STCW avsnitt A-I/11.1.1.</w:t>
            </w:r>
            <w:r w:rsidR="009A74A2">
              <w:t xml:space="preserve">2 gjenfinnes i </w:t>
            </w:r>
            <w:r w:rsidR="009A74A2" w:rsidRPr="00822E88">
              <w:rPr>
                <w:b/>
                <w:bCs/>
                <w:i/>
                <w:iCs/>
              </w:rPr>
              <w:t>bokstav b</w:t>
            </w:r>
            <w:r w:rsidR="008257A4">
              <w:t>.</w:t>
            </w:r>
          </w:p>
          <w:p w14:paraId="319774A9" w14:textId="230B1A48" w:rsidR="00AC7B87" w:rsidRDefault="00AC7B87" w:rsidP="00AC7B87">
            <w:r>
              <w:t>STCW avsnitt A-I/11.1.</w:t>
            </w:r>
            <w:r w:rsidR="00C4469F">
              <w:t>2</w:t>
            </w:r>
            <w:r>
              <w:t xml:space="preserve"> gjenfinnes i </w:t>
            </w:r>
            <w:r w:rsidRPr="00822E88">
              <w:rPr>
                <w:b/>
                <w:bCs/>
                <w:i/>
                <w:iCs/>
              </w:rPr>
              <w:t xml:space="preserve">bokstav </w:t>
            </w:r>
            <w:r w:rsidR="00916961" w:rsidRPr="00822E88">
              <w:rPr>
                <w:b/>
                <w:bCs/>
                <w:i/>
                <w:iCs/>
              </w:rPr>
              <w:t>a</w:t>
            </w:r>
            <w:r w:rsidR="00D25155" w:rsidRPr="00822E88">
              <w:rPr>
                <w:b/>
                <w:bCs/>
                <w:i/>
                <w:iCs/>
              </w:rPr>
              <w:t xml:space="preserve"> </w:t>
            </w:r>
            <w:r w:rsidR="00D25155" w:rsidRPr="00AE45C8">
              <w:rPr>
                <w:b/>
                <w:bCs/>
                <w:i/>
                <w:iCs/>
              </w:rPr>
              <w:t>og § 16 niende ledd</w:t>
            </w:r>
            <w:r w:rsidR="008257A4" w:rsidRPr="008D5953">
              <w:t>.</w:t>
            </w:r>
          </w:p>
          <w:p w14:paraId="5A671A9D" w14:textId="0EAE62CA" w:rsidR="00C4469F" w:rsidRDefault="004A2301" w:rsidP="00C4469F">
            <w:r>
              <w:t xml:space="preserve">- </w:t>
            </w:r>
            <w:r w:rsidR="00C4469F">
              <w:t>STCW avsnitt A-I/11.1.</w:t>
            </w:r>
            <w:r w:rsidR="00D048CE">
              <w:t xml:space="preserve">3 </w:t>
            </w:r>
            <w:r w:rsidR="00C4469F">
              <w:t xml:space="preserve">gjenfinnes i </w:t>
            </w:r>
            <w:r w:rsidR="00B8542E">
              <w:t>forslag</w:t>
            </w:r>
            <w:r w:rsidR="00EB3C3B">
              <w:t>et</w:t>
            </w:r>
            <w:r w:rsidR="00B8542E">
              <w:t xml:space="preserve"> til </w:t>
            </w:r>
            <w:r w:rsidR="00AC4864" w:rsidRPr="00822E88">
              <w:rPr>
                <w:b/>
                <w:bCs/>
                <w:i/>
                <w:iCs/>
              </w:rPr>
              <w:t>ny</w:t>
            </w:r>
            <w:r w:rsidR="00C4469F" w:rsidRPr="00822E88">
              <w:rPr>
                <w:b/>
                <w:bCs/>
                <w:i/>
                <w:iCs/>
              </w:rPr>
              <w:t xml:space="preserve"> bokstav </w:t>
            </w:r>
            <w:r w:rsidR="00AC4864" w:rsidRPr="00822E88">
              <w:rPr>
                <w:b/>
                <w:bCs/>
                <w:i/>
                <w:iCs/>
              </w:rPr>
              <w:t>e</w:t>
            </w:r>
            <w:r w:rsidR="008257A4">
              <w:t>.</w:t>
            </w:r>
          </w:p>
          <w:p w14:paraId="50F820DF" w14:textId="531098B4" w:rsidR="00D048CE" w:rsidRDefault="004A2301" w:rsidP="00D048CE">
            <w:r>
              <w:t xml:space="preserve">- </w:t>
            </w:r>
            <w:r w:rsidR="00D048CE">
              <w:t xml:space="preserve">STCW avsnitt A-I/11.1.4 gjenfinnes i </w:t>
            </w:r>
            <w:r w:rsidR="00D048CE" w:rsidRPr="00822E88">
              <w:rPr>
                <w:b/>
                <w:bCs/>
                <w:i/>
                <w:iCs/>
              </w:rPr>
              <w:t xml:space="preserve">bokstav </w:t>
            </w:r>
            <w:r w:rsidR="00461A6F" w:rsidRPr="00822E88">
              <w:rPr>
                <w:b/>
                <w:bCs/>
                <w:i/>
                <w:iCs/>
              </w:rPr>
              <w:t>d</w:t>
            </w:r>
            <w:r w:rsidR="00916961">
              <w:t>.</w:t>
            </w:r>
          </w:p>
          <w:p w14:paraId="1F2DD2B1" w14:textId="3EBF0982" w:rsidR="002D7C0E" w:rsidRDefault="00822E88" w:rsidP="00951E07">
            <w:r>
              <w:t xml:space="preserve">- </w:t>
            </w:r>
            <w:r w:rsidR="00951E07">
              <w:t xml:space="preserve">STCW avsnitt A-I/11.1.5 </w:t>
            </w:r>
            <w:r w:rsidR="00F026FF">
              <w:t xml:space="preserve">første del om </w:t>
            </w:r>
            <w:r w:rsidR="00285E34">
              <w:t xml:space="preserve">overtallig stilling </w:t>
            </w:r>
            <w:r w:rsidR="00951E07">
              <w:t xml:space="preserve">gjenfinnes i </w:t>
            </w:r>
            <w:r w:rsidR="00951E07" w:rsidRPr="00822E88">
              <w:rPr>
                <w:b/>
                <w:bCs/>
                <w:i/>
                <w:iCs/>
              </w:rPr>
              <w:t>bokstav c</w:t>
            </w:r>
            <w:r w:rsidR="00B80F96">
              <w:t>.</w:t>
            </w:r>
            <w:r w:rsidR="003F5754">
              <w:t xml:space="preserve"> </w:t>
            </w:r>
          </w:p>
          <w:p w14:paraId="0EC4DA05" w14:textId="4E93E05D" w:rsidR="00461A6F" w:rsidRDefault="004A2301" w:rsidP="00D048CE">
            <w:r>
              <w:t xml:space="preserve">- </w:t>
            </w:r>
            <w:r w:rsidR="00D07F43">
              <w:t xml:space="preserve">STCW avsnitt A-I/11.1.5 omhandler det tilfelle at man har </w:t>
            </w:r>
            <w:r w:rsidR="00D07F43" w:rsidRPr="00697AD4">
              <w:t>gjennomført godkjent fartstid</w:t>
            </w:r>
            <w:r w:rsidR="00D07F43">
              <w:t xml:space="preserve"> om bord med et </w:t>
            </w:r>
            <w:r w:rsidR="00D07F43" w:rsidRPr="00C03951">
              <w:t xml:space="preserve">gyldig </w:t>
            </w:r>
            <w:r w:rsidR="00D07F43">
              <w:t xml:space="preserve">sertifikat av høyere klasse enn det som offisersrangen man har tilsier, rett før man får offisersrangen som samsvarer med sertifikatet. </w:t>
            </w:r>
            <w:r w:rsidR="004F7F99">
              <w:t xml:space="preserve">STCW avsnitt A-I/11.1.5 annen del </w:t>
            </w:r>
            <w:r w:rsidR="00BE7BCB">
              <w:t>er ikke gjennomført i forskriften</w:t>
            </w:r>
            <w:r w:rsidR="003D1EEC">
              <w:t xml:space="preserve"> </w:t>
            </w:r>
            <w:r w:rsidR="003D1EEC" w:rsidRPr="00F03FEE">
              <w:t>slik den står</w:t>
            </w:r>
            <w:r w:rsidR="002C4374" w:rsidRPr="00F03FEE">
              <w:t xml:space="preserve">, men </w:t>
            </w:r>
            <w:r w:rsidR="007950B7" w:rsidRPr="00F03FEE">
              <w:t>prinsippet om</w:t>
            </w:r>
            <w:r w:rsidR="00FB166D" w:rsidRPr="00F03FEE">
              <w:t xml:space="preserve"> at</w:t>
            </w:r>
            <w:r w:rsidR="007950B7" w:rsidRPr="00F03FEE">
              <w:t xml:space="preserve"> fartstid kan gjennomføres</w:t>
            </w:r>
            <w:r w:rsidR="00381C97" w:rsidRPr="00F03FEE">
              <w:t xml:space="preserve"> i en lavere stilling er gjennomført i forskriften</w:t>
            </w:r>
            <w:r w:rsidR="00381818" w:rsidRPr="00F03FEE">
              <w:t>.</w:t>
            </w:r>
            <w:r w:rsidR="00381818">
              <w:t xml:space="preserve"> </w:t>
            </w:r>
          </w:p>
          <w:p w14:paraId="7A1F07EA" w14:textId="77777777" w:rsidR="00F403BF" w:rsidRDefault="00F403BF" w:rsidP="009D20C4"/>
          <w:p w14:paraId="44097EEF" w14:textId="605A0FDA" w:rsidR="009D20C4" w:rsidRDefault="009D20C4" w:rsidP="009D20C4">
            <w:r>
              <w:t xml:space="preserve">Sjøfartsdirektoratet vil igjen påpeke at muligheten til å opparbeide «likeverdig fartstid» fortsatt vil være en mulighet etter at </w:t>
            </w:r>
            <w:r w:rsidR="001215C6">
              <w:t xml:space="preserve">nåværende </w:t>
            </w:r>
            <w:r>
              <w:t xml:space="preserve">§ 19 sjette ledd er opphevet. Se nærmere beskrivelse under </w:t>
            </w:r>
            <w:r w:rsidR="00963649">
              <w:t>direktoratets vurdering i svar til NHO Sjøfarts høringsinnspill ovenfor.</w:t>
            </w:r>
          </w:p>
          <w:p w14:paraId="35176902" w14:textId="59EE8D65" w:rsidR="009A74A2" w:rsidRDefault="009A74A2" w:rsidP="00DF5B83"/>
        </w:tc>
      </w:tr>
    </w:tbl>
    <w:p w14:paraId="079B435F" w14:textId="77777777" w:rsidR="00483235" w:rsidRDefault="00483235"/>
    <w:sectPr w:rsidR="00483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F51A8"/>
    <w:multiLevelType w:val="hybridMultilevel"/>
    <w:tmpl w:val="A19A2F7C"/>
    <w:lvl w:ilvl="0" w:tplc="1D6889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053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35"/>
    <w:rsid w:val="0000161A"/>
    <w:rsid w:val="000046D7"/>
    <w:rsid w:val="00006C02"/>
    <w:rsid w:val="00007639"/>
    <w:rsid w:val="00014460"/>
    <w:rsid w:val="000149C4"/>
    <w:rsid w:val="000167B0"/>
    <w:rsid w:val="00020EEC"/>
    <w:rsid w:val="000225D0"/>
    <w:rsid w:val="00023B19"/>
    <w:rsid w:val="0002577F"/>
    <w:rsid w:val="000320AE"/>
    <w:rsid w:val="000361FC"/>
    <w:rsid w:val="0004041C"/>
    <w:rsid w:val="0004137D"/>
    <w:rsid w:val="000439CA"/>
    <w:rsid w:val="0004411B"/>
    <w:rsid w:val="00056DCA"/>
    <w:rsid w:val="0005727A"/>
    <w:rsid w:val="00066814"/>
    <w:rsid w:val="00070E38"/>
    <w:rsid w:val="000766A9"/>
    <w:rsid w:val="00082E46"/>
    <w:rsid w:val="00086A99"/>
    <w:rsid w:val="000A1105"/>
    <w:rsid w:val="000B0499"/>
    <w:rsid w:val="000B4F77"/>
    <w:rsid w:val="000C1EA6"/>
    <w:rsid w:val="000C1FC9"/>
    <w:rsid w:val="000C3538"/>
    <w:rsid w:val="000C651B"/>
    <w:rsid w:val="000D2F01"/>
    <w:rsid w:val="000D3258"/>
    <w:rsid w:val="000D3BDB"/>
    <w:rsid w:val="000D4DB4"/>
    <w:rsid w:val="000D6F62"/>
    <w:rsid w:val="000F3926"/>
    <w:rsid w:val="000F3E6E"/>
    <w:rsid w:val="00104804"/>
    <w:rsid w:val="00112704"/>
    <w:rsid w:val="00113786"/>
    <w:rsid w:val="001139A3"/>
    <w:rsid w:val="00113D44"/>
    <w:rsid w:val="00113FBD"/>
    <w:rsid w:val="0011650C"/>
    <w:rsid w:val="00117E53"/>
    <w:rsid w:val="0012006D"/>
    <w:rsid w:val="001215C6"/>
    <w:rsid w:val="00121756"/>
    <w:rsid w:val="0012337B"/>
    <w:rsid w:val="00123553"/>
    <w:rsid w:val="001250D9"/>
    <w:rsid w:val="0012536D"/>
    <w:rsid w:val="00127EDB"/>
    <w:rsid w:val="001324BF"/>
    <w:rsid w:val="0013497E"/>
    <w:rsid w:val="001362C7"/>
    <w:rsid w:val="001367DC"/>
    <w:rsid w:val="00137FAD"/>
    <w:rsid w:val="00140096"/>
    <w:rsid w:val="001415EA"/>
    <w:rsid w:val="0014175F"/>
    <w:rsid w:val="00142BCE"/>
    <w:rsid w:val="00150A6D"/>
    <w:rsid w:val="00150BA2"/>
    <w:rsid w:val="00150D7E"/>
    <w:rsid w:val="00152116"/>
    <w:rsid w:val="0015384D"/>
    <w:rsid w:val="00156FAE"/>
    <w:rsid w:val="00160998"/>
    <w:rsid w:val="00163ECD"/>
    <w:rsid w:val="00164A44"/>
    <w:rsid w:val="00165798"/>
    <w:rsid w:val="00166519"/>
    <w:rsid w:val="00170614"/>
    <w:rsid w:val="00176D65"/>
    <w:rsid w:val="0018018D"/>
    <w:rsid w:val="001805CF"/>
    <w:rsid w:val="00183E46"/>
    <w:rsid w:val="0018418E"/>
    <w:rsid w:val="001903C1"/>
    <w:rsid w:val="001920A3"/>
    <w:rsid w:val="001935F5"/>
    <w:rsid w:val="001A3A33"/>
    <w:rsid w:val="001A3EFB"/>
    <w:rsid w:val="001B0C1D"/>
    <w:rsid w:val="001B2AA2"/>
    <w:rsid w:val="001B2DC1"/>
    <w:rsid w:val="001B38BF"/>
    <w:rsid w:val="001B6504"/>
    <w:rsid w:val="001B653C"/>
    <w:rsid w:val="001C21AE"/>
    <w:rsid w:val="001C3070"/>
    <w:rsid w:val="001C467E"/>
    <w:rsid w:val="001C46E0"/>
    <w:rsid w:val="001C4EAE"/>
    <w:rsid w:val="001C761A"/>
    <w:rsid w:val="001C7BBC"/>
    <w:rsid w:val="001D35DC"/>
    <w:rsid w:val="001E1DF2"/>
    <w:rsid w:val="001E559A"/>
    <w:rsid w:val="001F1D48"/>
    <w:rsid w:val="001F2450"/>
    <w:rsid w:val="001F3B37"/>
    <w:rsid w:val="002006D2"/>
    <w:rsid w:val="00207F40"/>
    <w:rsid w:val="002109E1"/>
    <w:rsid w:val="002133D3"/>
    <w:rsid w:val="002143E6"/>
    <w:rsid w:val="00214E03"/>
    <w:rsid w:val="00215CF3"/>
    <w:rsid w:val="002165A6"/>
    <w:rsid w:val="00216A45"/>
    <w:rsid w:val="00217A5F"/>
    <w:rsid w:val="00222F1E"/>
    <w:rsid w:val="00224FE4"/>
    <w:rsid w:val="00231112"/>
    <w:rsid w:val="00232044"/>
    <w:rsid w:val="002324CF"/>
    <w:rsid w:val="002369D7"/>
    <w:rsid w:val="0023792E"/>
    <w:rsid w:val="002400CD"/>
    <w:rsid w:val="00244374"/>
    <w:rsid w:val="00244D96"/>
    <w:rsid w:val="0024526B"/>
    <w:rsid w:val="002454BF"/>
    <w:rsid w:val="002536AE"/>
    <w:rsid w:val="0026097F"/>
    <w:rsid w:val="00260EC1"/>
    <w:rsid w:val="00266094"/>
    <w:rsid w:val="00266172"/>
    <w:rsid w:val="00271018"/>
    <w:rsid w:val="002777B4"/>
    <w:rsid w:val="00277D9C"/>
    <w:rsid w:val="0028165D"/>
    <w:rsid w:val="00283AEE"/>
    <w:rsid w:val="00285E34"/>
    <w:rsid w:val="00286195"/>
    <w:rsid w:val="00291EA2"/>
    <w:rsid w:val="002946E4"/>
    <w:rsid w:val="002A22C6"/>
    <w:rsid w:val="002A486C"/>
    <w:rsid w:val="002A7BE0"/>
    <w:rsid w:val="002B028A"/>
    <w:rsid w:val="002B02C4"/>
    <w:rsid w:val="002B0D52"/>
    <w:rsid w:val="002B3F30"/>
    <w:rsid w:val="002C1399"/>
    <w:rsid w:val="002C2092"/>
    <w:rsid w:val="002C2C84"/>
    <w:rsid w:val="002C3704"/>
    <w:rsid w:val="002C37CB"/>
    <w:rsid w:val="002C4374"/>
    <w:rsid w:val="002C7CED"/>
    <w:rsid w:val="002D7C0E"/>
    <w:rsid w:val="002E51FE"/>
    <w:rsid w:val="002E6C37"/>
    <w:rsid w:val="00302A7F"/>
    <w:rsid w:val="00305E31"/>
    <w:rsid w:val="0030617B"/>
    <w:rsid w:val="00306C5B"/>
    <w:rsid w:val="00310A4E"/>
    <w:rsid w:val="00311A4C"/>
    <w:rsid w:val="00314548"/>
    <w:rsid w:val="00320653"/>
    <w:rsid w:val="003207FC"/>
    <w:rsid w:val="00322BF7"/>
    <w:rsid w:val="00324C95"/>
    <w:rsid w:val="003258E3"/>
    <w:rsid w:val="00326DB6"/>
    <w:rsid w:val="003278AF"/>
    <w:rsid w:val="003354AE"/>
    <w:rsid w:val="003369E3"/>
    <w:rsid w:val="00337B07"/>
    <w:rsid w:val="003400AC"/>
    <w:rsid w:val="00343402"/>
    <w:rsid w:val="00345E93"/>
    <w:rsid w:val="003463A2"/>
    <w:rsid w:val="00346E31"/>
    <w:rsid w:val="00351344"/>
    <w:rsid w:val="003529FA"/>
    <w:rsid w:val="003534CD"/>
    <w:rsid w:val="003614DA"/>
    <w:rsid w:val="00363A20"/>
    <w:rsid w:val="0036576E"/>
    <w:rsid w:val="0037180F"/>
    <w:rsid w:val="00371F69"/>
    <w:rsid w:val="00373BE8"/>
    <w:rsid w:val="0037563A"/>
    <w:rsid w:val="00376DF1"/>
    <w:rsid w:val="00381818"/>
    <w:rsid w:val="00381861"/>
    <w:rsid w:val="00381C97"/>
    <w:rsid w:val="00385A4D"/>
    <w:rsid w:val="0039327D"/>
    <w:rsid w:val="003A5BE2"/>
    <w:rsid w:val="003A7CE4"/>
    <w:rsid w:val="003B06F4"/>
    <w:rsid w:val="003B215C"/>
    <w:rsid w:val="003C464A"/>
    <w:rsid w:val="003C51E1"/>
    <w:rsid w:val="003C56FF"/>
    <w:rsid w:val="003D1EEC"/>
    <w:rsid w:val="003D293B"/>
    <w:rsid w:val="003D2F84"/>
    <w:rsid w:val="003E2849"/>
    <w:rsid w:val="003E340A"/>
    <w:rsid w:val="003E4CDB"/>
    <w:rsid w:val="003F54A9"/>
    <w:rsid w:val="003F5754"/>
    <w:rsid w:val="003F6593"/>
    <w:rsid w:val="00402D26"/>
    <w:rsid w:val="00411E1B"/>
    <w:rsid w:val="00414113"/>
    <w:rsid w:val="004179A6"/>
    <w:rsid w:val="0042204B"/>
    <w:rsid w:val="00423B1A"/>
    <w:rsid w:val="004261DD"/>
    <w:rsid w:val="0042714C"/>
    <w:rsid w:val="004327E0"/>
    <w:rsid w:val="00434638"/>
    <w:rsid w:val="00442611"/>
    <w:rsid w:val="00444197"/>
    <w:rsid w:val="00444A9D"/>
    <w:rsid w:val="00453DE9"/>
    <w:rsid w:val="004579BF"/>
    <w:rsid w:val="00457E57"/>
    <w:rsid w:val="00460BBB"/>
    <w:rsid w:val="00461A6F"/>
    <w:rsid w:val="0046293C"/>
    <w:rsid w:val="004633FE"/>
    <w:rsid w:val="004641CE"/>
    <w:rsid w:val="00465363"/>
    <w:rsid w:val="00471321"/>
    <w:rsid w:val="00472B9B"/>
    <w:rsid w:val="0047601F"/>
    <w:rsid w:val="00476998"/>
    <w:rsid w:val="00476A99"/>
    <w:rsid w:val="0048128E"/>
    <w:rsid w:val="00483235"/>
    <w:rsid w:val="004913B1"/>
    <w:rsid w:val="00491407"/>
    <w:rsid w:val="00494C22"/>
    <w:rsid w:val="00496843"/>
    <w:rsid w:val="0049752C"/>
    <w:rsid w:val="004A0B4C"/>
    <w:rsid w:val="004A1F70"/>
    <w:rsid w:val="004A2301"/>
    <w:rsid w:val="004A4796"/>
    <w:rsid w:val="004A4F96"/>
    <w:rsid w:val="004B01A9"/>
    <w:rsid w:val="004B2089"/>
    <w:rsid w:val="004B3D59"/>
    <w:rsid w:val="004B743B"/>
    <w:rsid w:val="004C063B"/>
    <w:rsid w:val="004C0896"/>
    <w:rsid w:val="004C792D"/>
    <w:rsid w:val="004D16DF"/>
    <w:rsid w:val="004E0FF6"/>
    <w:rsid w:val="004E3322"/>
    <w:rsid w:val="004E6D17"/>
    <w:rsid w:val="004E771E"/>
    <w:rsid w:val="004F1A44"/>
    <w:rsid w:val="004F1EDD"/>
    <w:rsid w:val="004F3208"/>
    <w:rsid w:val="004F5359"/>
    <w:rsid w:val="004F7F99"/>
    <w:rsid w:val="00500316"/>
    <w:rsid w:val="00500719"/>
    <w:rsid w:val="0050103F"/>
    <w:rsid w:val="005024DE"/>
    <w:rsid w:val="005060D2"/>
    <w:rsid w:val="00507861"/>
    <w:rsid w:val="00510965"/>
    <w:rsid w:val="00511192"/>
    <w:rsid w:val="00513225"/>
    <w:rsid w:val="00513726"/>
    <w:rsid w:val="00514BF4"/>
    <w:rsid w:val="00515C6A"/>
    <w:rsid w:val="005163E4"/>
    <w:rsid w:val="005214B4"/>
    <w:rsid w:val="00523687"/>
    <w:rsid w:val="00524557"/>
    <w:rsid w:val="00527BE9"/>
    <w:rsid w:val="00527F85"/>
    <w:rsid w:val="005304FA"/>
    <w:rsid w:val="00533AED"/>
    <w:rsid w:val="0053534B"/>
    <w:rsid w:val="00536C21"/>
    <w:rsid w:val="00541641"/>
    <w:rsid w:val="00542086"/>
    <w:rsid w:val="00544947"/>
    <w:rsid w:val="0055172D"/>
    <w:rsid w:val="00551ED1"/>
    <w:rsid w:val="00552339"/>
    <w:rsid w:val="005557C3"/>
    <w:rsid w:val="00555B33"/>
    <w:rsid w:val="00561881"/>
    <w:rsid w:val="00563BB2"/>
    <w:rsid w:val="00565621"/>
    <w:rsid w:val="00565BC2"/>
    <w:rsid w:val="0057029F"/>
    <w:rsid w:val="0057229A"/>
    <w:rsid w:val="00575B92"/>
    <w:rsid w:val="0057695A"/>
    <w:rsid w:val="00583C79"/>
    <w:rsid w:val="005847E2"/>
    <w:rsid w:val="00587844"/>
    <w:rsid w:val="00590352"/>
    <w:rsid w:val="005A2C70"/>
    <w:rsid w:val="005A6920"/>
    <w:rsid w:val="005B3ED0"/>
    <w:rsid w:val="005C216C"/>
    <w:rsid w:val="005C5777"/>
    <w:rsid w:val="005C6BB1"/>
    <w:rsid w:val="005D3B64"/>
    <w:rsid w:val="005D448A"/>
    <w:rsid w:val="005D51AB"/>
    <w:rsid w:val="005D5393"/>
    <w:rsid w:val="005E128C"/>
    <w:rsid w:val="005E6545"/>
    <w:rsid w:val="0060346B"/>
    <w:rsid w:val="00613867"/>
    <w:rsid w:val="00613DCF"/>
    <w:rsid w:val="006147CF"/>
    <w:rsid w:val="00615864"/>
    <w:rsid w:val="006162AF"/>
    <w:rsid w:val="00616C63"/>
    <w:rsid w:val="0062018F"/>
    <w:rsid w:val="0062488B"/>
    <w:rsid w:val="0063088F"/>
    <w:rsid w:val="00634242"/>
    <w:rsid w:val="00634BB5"/>
    <w:rsid w:val="0063692E"/>
    <w:rsid w:val="00637C08"/>
    <w:rsid w:val="006431A5"/>
    <w:rsid w:val="0064653B"/>
    <w:rsid w:val="006477B1"/>
    <w:rsid w:val="00651D3E"/>
    <w:rsid w:val="00653E67"/>
    <w:rsid w:val="00656B8F"/>
    <w:rsid w:val="006623AB"/>
    <w:rsid w:val="00665DA1"/>
    <w:rsid w:val="00666062"/>
    <w:rsid w:val="00667233"/>
    <w:rsid w:val="00670C81"/>
    <w:rsid w:val="006710EF"/>
    <w:rsid w:val="00680EC5"/>
    <w:rsid w:val="00683BFA"/>
    <w:rsid w:val="00687234"/>
    <w:rsid w:val="00691471"/>
    <w:rsid w:val="00692C6F"/>
    <w:rsid w:val="00692D9A"/>
    <w:rsid w:val="00692F60"/>
    <w:rsid w:val="00693212"/>
    <w:rsid w:val="00697AD4"/>
    <w:rsid w:val="006A091C"/>
    <w:rsid w:val="006A22DA"/>
    <w:rsid w:val="006A288B"/>
    <w:rsid w:val="006A38B8"/>
    <w:rsid w:val="006B0807"/>
    <w:rsid w:val="006B13AD"/>
    <w:rsid w:val="006B1A24"/>
    <w:rsid w:val="006B4184"/>
    <w:rsid w:val="006B58F8"/>
    <w:rsid w:val="006C078F"/>
    <w:rsid w:val="006C25B4"/>
    <w:rsid w:val="006C2F09"/>
    <w:rsid w:val="006C424E"/>
    <w:rsid w:val="006C6226"/>
    <w:rsid w:val="006D276D"/>
    <w:rsid w:val="006D2C58"/>
    <w:rsid w:val="006D3169"/>
    <w:rsid w:val="006D618C"/>
    <w:rsid w:val="006D7076"/>
    <w:rsid w:val="006E1C05"/>
    <w:rsid w:val="006E74BA"/>
    <w:rsid w:val="006F6E87"/>
    <w:rsid w:val="007058B7"/>
    <w:rsid w:val="00714EBC"/>
    <w:rsid w:val="00725D1B"/>
    <w:rsid w:val="00726812"/>
    <w:rsid w:val="00726E7B"/>
    <w:rsid w:val="00736522"/>
    <w:rsid w:val="00736CE6"/>
    <w:rsid w:val="007412B4"/>
    <w:rsid w:val="00744941"/>
    <w:rsid w:val="00757039"/>
    <w:rsid w:val="00757B84"/>
    <w:rsid w:val="007679A3"/>
    <w:rsid w:val="00774BBD"/>
    <w:rsid w:val="00775588"/>
    <w:rsid w:val="00775E3B"/>
    <w:rsid w:val="00777BAB"/>
    <w:rsid w:val="00780C55"/>
    <w:rsid w:val="007835DC"/>
    <w:rsid w:val="007842F7"/>
    <w:rsid w:val="0078512F"/>
    <w:rsid w:val="007921EB"/>
    <w:rsid w:val="00794A82"/>
    <w:rsid w:val="007950B7"/>
    <w:rsid w:val="007976D8"/>
    <w:rsid w:val="007A373D"/>
    <w:rsid w:val="007A38F0"/>
    <w:rsid w:val="007A4133"/>
    <w:rsid w:val="007A7B45"/>
    <w:rsid w:val="007A7EE2"/>
    <w:rsid w:val="007B1411"/>
    <w:rsid w:val="007B58EF"/>
    <w:rsid w:val="007B7D05"/>
    <w:rsid w:val="007C056E"/>
    <w:rsid w:val="007C218E"/>
    <w:rsid w:val="007C2D8F"/>
    <w:rsid w:val="007C413A"/>
    <w:rsid w:val="007C6405"/>
    <w:rsid w:val="007D505F"/>
    <w:rsid w:val="007E27B2"/>
    <w:rsid w:val="007E7289"/>
    <w:rsid w:val="007F1CBD"/>
    <w:rsid w:val="0080017C"/>
    <w:rsid w:val="0080137D"/>
    <w:rsid w:val="00802241"/>
    <w:rsid w:val="0080258B"/>
    <w:rsid w:val="008029E9"/>
    <w:rsid w:val="0080558F"/>
    <w:rsid w:val="008120D7"/>
    <w:rsid w:val="00813B76"/>
    <w:rsid w:val="00820197"/>
    <w:rsid w:val="00822E88"/>
    <w:rsid w:val="008257A4"/>
    <w:rsid w:val="00832758"/>
    <w:rsid w:val="00837EBB"/>
    <w:rsid w:val="00840C3B"/>
    <w:rsid w:val="00842F57"/>
    <w:rsid w:val="0084492D"/>
    <w:rsid w:val="0084718C"/>
    <w:rsid w:val="0085411E"/>
    <w:rsid w:val="00857395"/>
    <w:rsid w:val="00865440"/>
    <w:rsid w:val="00875E50"/>
    <w:rsid w:val="00877F06"/>
    <w:rsid w:val="00882F9B"/>
    <w:rsid w:val="00887150"/>
    <w:rsid w:val="008924B4"/>
    <w:rsid w:val="00896102"/>
    <w:rsid w:val="008963E3"/>
    <w:rsid w:val="008A2D7A"/>
    <w:rsid w:val="008A4B50"/>
    <w:rsid w:val="008A518B"/>
    <w:rsid w:val="008A51EE"/>
    <w:rsid w:val="008B041C"/>
    <w:rsid w:val="008B1484"/>
    <w:rsid w:val="008B3BF8"/>
    <w:rsid w:val="008C30B5"/>
    <w:rsid w:val="008C36D4"/>
    <w:rsid w:val="008C5C71"/>
    <w:rsid w:val="008C772F"/>
    <w:rsid w:val="008D01D6"/>
    <w:rsid w:val="008D42A0"/>
    <w:rsid w:val="008D5953"/>
    <w:rsid w:val="008D5F4C"/>
    <w:rsid w:val="008E6092"/>
    <w:rsid w:val="008E7BA1"/>
    <w:rsid w:val="008F30C9"/>
    <w:rsid w:val="00901029"/>
    <w:rsid w:val="009032BC"/>
    <w:rsid w:val="00903673"/>
    <w:rsid w:val="00906D97"/>
    <w:rsid w:val="00910B0B"/>
    <w:rsid w:val="009111A9"/>
    <w:rsid w:val="00916961"/>
    <w:rsid w:val="00921C5C"/>
    <w:rsid w:val="009254E5"/>
    <w:rsid w:val="009273B6"/>
    <w:rsid w:val="009333CA"/>
    <w:rsid w:val="009357A1"/>
    <w:rsid w:val="00943E37"/>
    <w:rsid w:val="00946831"/>
    <w:rsid w:val="00951E07"/>
    <w:rsid w:val="00957A67"/>
    <w:rsid w:val="009610C2"/>
    <w:rsid w:val="00963649"/>
    <w:rsid w:val="0096376D"/>
    <w:rsid w:val="0096498A"/>
    <w:rsid w:val="00965AED"/>
    <w:rsid w:val="0096622F"/>
    <w:rsid w:val="00970EF2"/>
    <w:rsid w:val="00971446"/>
    <w:rsid w:val="0097462A"/>
    <w:rsid w:val="009773FD"/>
    <w:rsid w:val="00994971"/>
    <w:rsid w:val="009951EE"/>
    <w:rsid w:val="009960DF"/>
    <w:rsid w:val="00997FB8"/>
    <w:rsid w:val="009A20FF"/>
    <w:rsid w:val="009A4AE9"/>
    <w:rsid w:val="009A5B7E"/>
    <w:rsid w:val="009A5DC5"/>
    <w:rsid w:val="009A74A2"/>
    <w:rsid w:val="009B0092"/>
    <w:rsid w:val="009B0D0C"/>
    <w:rsid w:val="009B41E6"/>
    <w:rsid w:val="009B77D7"/>
    <w:rsid w:val="009C0ED1"/>
    <w:rsid w:val="009C2B95"/>
    <w:rsid w:val="009D0422"/>
    <w:rsid w:val="009D20C4"/>
    <w:rsid w:val="009D2D4A"/>
    <w:rsid w:val="009D3474"/>
    <w:rsid w:val="009D506C"/>
    <w:rsid w:val="009D6496"/>
    <w:rsid w:val="009F3DA4"/>
    <w:rsid w:val="009F67C5"/>
    <w:rsid w:val="009F73EF"/>
    <w:rsid w:val="00A01660"/>
    <w:rsid w:val="00A03702"/>
    <w:rsid w:val="00A06C47"/>
    <w:rsid w:val="00A10488"/>
    <w:rsid w:val="00A153F0"/>
    <w:rsid w:val="00A15C5F"/>
    <w:rsid w:val="00A2034C"/>
    <w:rsid w:val="00A2149D"/>
    <w:rsid w:val="00A25EA1"/>
    <w:rsid w:val="00A3037C"/>
    <w:rsid w:val="00A306FA"/>
    <w:rsid w:val="00A32AC7"/>
    <w:rsid w:val="00A340A9"/>
    <w:rsid w:val="00A40336"/>
    <w:rsid w:val="00A55D90"/>
    <w:rsid w:val="00A56BC8"/>
    <w:rsid w:val="00A62E2B"/>
    <w:rsid w:val="00A6379E"/>
    <w:rsid w:val="00A63ADA"/>
    <w:rsid w:val="00A64E23"/>
    <w:rsid w:val="00A67328"/>
    <w:rsid w:val="00A7166E"/>
    <w:rsid w:val="00A719A9"/>
    <w:rsid w:val="00A71C66"/>
    <w:rsid w:val="00A74317"/>
    <w:rsid w:val="00A868D6"/>
    <w:rsid w:val="00A87056"/>
    <w:rsid w:val="00A93C07"/>
    <w:rsid w:val="00A93DA2"/>
    <w:rsid w:val="00A94CD5"/>
    <w:rsid w:val="00AA7A1E"/>
    <w:rsid w:val="00AB0F07"/>
    <w:rsid w:val="00AB4ACE"/>
    <w:rsid w:val="00AC4864"/>
    <w:rsid w:val="00AC4E7B"/>
    <w:rsid w:val="00AC7B3C"/>
    <w:rsid w:val="00AC7B87"/>
    <w:rsid w:val="00AC7BD8"/>
    <w:rsid w:val="00AD20E9"/>
    <w:rsid w:val="00AD79FA"/>
    <w:rsid w:val="00AE45C8"/>
    <w:rsid w:val="00AF2458"/>
    <w:rsid w:val="00AF274B"/>
    <w:rsid w:val="00AF27DF"/>
    <w:rsid w:val="00AF7EDC"/>
    <w:rsid w:val="00B00FB6"/>
    <w:rsid w:val="00B01472"/>
    <w:rsid w:val="00B01E7D"/>
    <w:rsid w:val="00B02134"/>
    <w:rsid w:val="00B029DD"/>
    <w:rsid w:val="00B02D7E"/>
    <w:rsid w:val="00B05450"/>
    <w:rsid w:val="00B11A0B"/>
    <w:rsid w:val="00B12634"/>
    <w:rsid w:val="00B14FED"/>
    <w:rsid w:val="00B16554"/>
    <w:rsid w:val="00B23E6B"/>
    <w:rsid w:val="00B25336"/>
    <w:rsid w:val="00B27497"/>
    <w:rsid w:val="00B406C2"/>
    <w:rsid w:val="00B423C0"/>
    <w:rsid w:val="00B4325F"/>
    <w:rsid w:val="00B504C1"/>
    <w:rsid w:val="00B55079"/>
    <w:rsid w:val="00B61E8C"/>
    <w:rsid w:val="00B626EC"/>
    <w:rsid w:val="00B6278A"/>
    <w:rsid w:val="00B652A5"/>
    <w:rsid w:val="00B65ECA"/>
    <w:rsid w:val="00B70DEE"/>
    <w:rsid w:val="00B71715"/>
    <w:rsid w:val="00B76CD8"/>
    <w:rsid w:val="00B8003B"/>
    <w:rsid w:val="00B801B5"/>
    <w:rsid w:val="00B80F96"/>
    <w:rsid w:val="00B8542E"/>
    <w:rsid w:val="00B92737"/>
    <w:rsid w:val="00BB4987"/>
    <w:rsid w:val="00BB5DAF"/>
    <w:rsid w:val="00BC6067"/>
    <w:rsid w:val="00BC61DD"/>
    <w:rsid w:val="00BD14FC"/>
    <w:rsid w:val="00BD2147"/>
    <w:rsid w:val="00BD220D"/>
    <w:rsid w:val="00BE7BCB"/>
    <w:rsid w:val="00BF1BD7"/>
    <w:rsid w:val="00BF216D"/>
    <w:rsid w:val="00BF34D9"/>
    <w:rsid w:val="00BF4237"/>
    <w:rsid w:val="00C03951"/>
    <w:rsid w:val="00C06135"/>
    <w:rsid w:val="00C13EC1"/>
    <w:rsid w:val="00C14839"/>
    <w:rsid w:val="00C1503C"/>
    <w:rsid w:val="00C17E08"/>
    <w:rsid w:val="00C207FD"/>
    <w:rsid w:val="00C26EA1"/>
    <w:rsid w:val="00C3367D"/>
    <w:rsid w:val="00C35E69"/>
    <w:rsid w:val="00C373D0"/>
    <w:rsid w:val="00C37F2C"/>
    <w:rsid w:val="00C4469F"/>
    <w:rsid w:val="00C52C30"/>
    <w:rsid w:val="00C53FE1"/>
    <w:rsid w:val="00C61F6E"/>
    <w:rsid w:val="00C62159"/>
    <w:rsid w:val="00C624AB"/>
    <w:rsid w:val="00C653AA"/>
    <w:rsid w:val="00C7215E"/>
    <w:rsid w:val="00C72459"/>
    <w:rsid w:val="00C73893"/>
    <w:rsid w:val="00C824A4"/>
    <w:rsid w:val="00C87585"/>
    <w:rsid w:val="00C87FDD"/>
    <w:rsid w:val="00C94F41"/>
    <w:rsid w:val="00CA47A6"/>
    <w:rsid w:val="00CA52BC"/>
    <w:rsid w:val="00CA6AAD"/>
    <w:rsid w:val="00CA7154"/>
    <w:rsid w:val="00CA734D"/>
    <w:rsid w:val="00CB21F1"/>
    <w:rsid w:val="00CB260F"/>
    <w:rsid w:val="00CB66ED"/>
    <w:rsid w:val="00CC1490"/>
    <w:rsid w:val="00CC685A"/>
    <w:rsid w:val="00CC6959"/>
    <w:rsid w:val="00CC6C7F"/>
    <w:rsid w:val="00CC7912"/>
    <w:rsid w:val="00CD1AF9"/>
    <w:rsid w:val="00CD55B1"/>
    <w:rsid w:val="00CD787B"/>
    <w:rsid w:val="00CD7CA0"/>
    <w:rsid w:val="00CE12C3"/>
    <w:rsid w:val="00CE14D3"/>
    <w:rsid w:val="00CE3653"/>
    <w:rsid w:val="00CE4312"/>
    <w:rsid w:val="00CE55E4"/>
    <w:rsid w:val="00CE6CA1"/>
    <w:rsid w:val="00CE7A61"/>
    <w:rsid w:val="00CF09C3"/>
    <w:rsid w:val="00CF120A"/>
    <w:rsid w:val="00CF2BDC"/>
    <w:rsid w:val="00CF3A00"/>
    <w:rsid w:val="00CF56CC"/>
    <w:rsid w:val="00D048CE"/>
    <w:rsid w:val="00D061C4"/>
    <w:rsid w:val="00D07F43"/>
    <w:rsid w:val="00D1657E"/>
    <w:rsid w:val="00D16D65"/>
    <w:rsid w:val="00D17BFC"/>
    <w:rsid w:val="00D22F5F"/>
    <w:rsid w:val="00D25155"/>
    <w:rsid w:val="00D31540"/>
    <w:rsid w:val="00D322C6"/>
    <w:rsid w:val="00D335D7"/>
    <w:rsid w:val="00D43810"/>
    <w:rsid w:val="00D43B90"/>
    <w:rsid w:val="00D446DA"/>
    <w:rsid w:val="00D53437"/>
    <w:rsid w:val="00D66B23"/>
    <w:rsid w:val="00D74D03"/>
    <w:rsid w:val="00D80D4A"/>
    <w:rsid w:val="00D83C52"/>
    <w:rsid w:val="00D8538E"/>
    <w:rsid w:val="00D86215"/>
    <w:rsid w:val="00D94A00"/>
    <w:rsid w:val="00DA194E"/>
    <w:rsid w:val="00DA1FDA"/>
    <w:rsid w:val="00DA7454"/>
    <w:rsid w:val="00DB44B9"/>
    <w:rsid w:val="00DC2DAC"/>
    <w:rsid w:val="00DC6117"/>
    <w:rsid w:val="00DC6790"/>
    <w:rsid w:val="00DD134A"/>
    <w:rsid w:val="00DD77FF"/>
    <w:rsid w:val="00DE0DAF"/>
    <w:rsid w:val="00DE221C"/>
    <w:rsid w:val="00DE5816"/>
    <w:rsid w:val="00DE64C8"/>
    <w:rsid w:val="00DE7594"/>
    <w:rsid w:val="00DF1207"/>
    <w:rsid w:val="00DF2FFA"/>
    <w:rsid w:val="00DF4871"/>
    <w:rsid w:val="00DF4D36"/>
    <w:rsid w:val="00DF5B83"/>
    <w:rsid w:val="00E000E7"/>
    <w:rsid w:val="00E02582"/>
    <w:rsid w:val="00E03538"/>
    <w:rsid w:val="00E15E11"/>
    <w:rsid w:val="00E20A6D"/>
    <w:rsid w:val="00E23A52"/>
    <w:rsid w:val="00E26578"/>
    <w:rsid w:val="00E31B4E"/>
    <w:rsid w:val="00E367B6"/>
    <w:rsid w:val="00E458CF"/>
    <w:rsid w:val="00E45ECE"/>
    <w:rsid w:val="00E51136"/>
    <w:rsid w:val="00E5623A"/>
    <w:rsid w:val="00E63F25"/>
    <w:rsid w:val="00E64519"/>
    <w:rsid w:val="00E7122B"/>
    <w:rsid w:val="00E719DC"/>
    <w:rsid w:val="00E72F2C"/>
    <w:rsid w:val="00E77A4B"/>
    <w:rsid w:val="00E818F3"/>
    <w:rsid w:val="00E8599E"/>
    <w:rsid w:val="00E87289"/>
    <w:rsid w:val="00E90D85"/>
    <w:rsid w:val="00E92815"/>
    <w:rsid w:val="00E933C6"/>
    <w:rsid w:val="00E96730"/>
    <w:rsid w:val="00EA3069"/>
    <w:rsid w:val="00EA7C4A"/>
    <w:rsid w:val="00EB1B23"/>
    <w:rsid w:val="00EB3C3B"/>
    <w:rsid w:val="00EB43AD"/>
    <w:rsid w:val="00EB53EF"/>
    <w:rsid w:val="00EB5A9E"/>
    <w:rsid w:val="00EB649A"/>
    <w:rsid w:val="00EC321A"/>
    <w:rsid w:val="00ED1036"/>
    <w:rsid w:val="00ED2DDB"/>
    <w:rsid w:val="00ED35EB"/>
    <w:rsid w:val="00ED553A"/>
    <w:rsid w:val="00EE0517"/>
    <w:rsid w:val="00EE0733"/>
    <w:rsid w:val="00EE566C"/>
    <w:rsid w:val="00EE5C31"/>
    <w:rsid w:val="00EE6069"/>
    <w:rsid w:val="00EE75B3"/>
    <w:rsid w:val="00EF4676"/>
    <w:rsid w:val="00EF46BA"/>
    <w:rsid w:val="00EF48CD"/>
    <w:rsid w:val="00EF7245"/>
    <w:rsid w:val="00EF78F4"/>
    <w:rsid w:val="00F00E39"/>
    <w:rsid w:val="00F026FF"/>
    <w:rsid w:val="00F03FEE"/>
    <w:rsid w:val="00F060DF"/>
    <w:rsid w:val="00F114E5"/>
    <w:rsid w:val="00F14471"/>
    <w:rsid w:val="00F15B30"/>
    <w:rsid w:val="00F2565C"/>
    <w:rsid w:val="00F269C2"/>
    <w:rsid w:val="00F27533"/>
    <w:rsid w:val="00F331FC"/>
    <w:rsid w:val="00F37EB3"/>
    <w:rsid w:val="00F403BF"/>
    <w:rsid w:val="00F520A4"/>
    <w:rsid w:val="00F5394D"/>
    <w:rsid w:val="00F57235"/>
    <w:rsid w:val="00F62157"/>
    <w:rsid w:val="00F72292"/>
    <w:rsid w:val="00F7354E"/>
    <w:rsid w:val="00F737C5"/>
    <w:rsid w:val="00F80642"/>
    <w:rsid w:val="00F84574"/>
    <w:rsid w:val="00F84E42"/>
    <w:rsid w:val="00F86A14"/>
    <w:rsid w:val="00F953C7"/>
    <w:rsid w:val="00F95B2C"/>
    <w:rsid w:val="00F9690E"/>
    <w:rsid w:val="00FA165A"/>
    <w:rsid w:val="00FA1A5F"/>
    <w:rsid w:val="00FA421B"/>
    <w:rsid w:val="00FA6B58"/>
    <w:rsid w:val="00FB0368"/>
    <w:rsid w:val="00FB057F"/>
    <w:rsid w:val="00FB166D"/>
    <w:rsid w:val="00FB2BB3"/>
    <w:rsid w:val="00FB3115"/>
    <w:rsid w:val="00FB56DB"/>
    <w:rsid w:val="00FB7122"/>
    <w:rsid w:val="00FC07E2"/>
    <w:rsid w:val="00FC15C2"/>
    <w:rsid w:val="00FC56C3"/>
    <w:rsid w:val="00FD484F"/>
    <w:rsid w:val="00FE4869"/>
    <w:rsid w:val="00FE67CA"/>
    <w:rsid w:val="00FE7528"/>
    <w:rsid w:val="00FF3766"/>
    <w:rsid w:val="00FF5559"/>
    <w:rsid w:val="293FD5AB"/>
    <w:rsid w:val="2ADD07CD"/>
    <w:rsid w:val="49CEEAE0"/>
    <w:rsid w:val="5AC9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78FC"/>
  <w15:chartTrackingRefBased/>
  <w15:docId w15:val="{7207782F-4CF9-43C2-91D4-85CD50F9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8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E6D1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F27DF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504C1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1386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61386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61386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1386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13867"/>
    <w:rPr>
      <w:b/>
      <w:bCs/>
      <w:sz w:val="20"/>
      <w:szCs w:val="20"/>
    </w:rPr>
  </w:style>
  <w:style w:type="paragraph" w:customStyle="1" w:styleId="paragraph">
    <w:name w:val="paragraph"/>
    <w:basedOn w:val="Normal"/>
    <w:rsid w:val="0054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544947"/>
  </w:style>
  <w:style w:type="character" w:customStyle="1" w:styleId="eop">
    <w:name w:val="eop"/>
    <w:basedOn w:val="Standardskriftforavsnitt"/>
    <w:rsid w:val="00544947"/>
  </w:style>
  <w:style w:type="paragraph" w:customStyle="1" w:styleId="pf0">
    <w:name w:val="pf0"/>
    <w:basedOn w:val="Normal"/>
    <w:rsid w:val="008C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f01">
    <w:name w:val="cf01"/>
    <w:basedOn w:val="Standardskriftforavsnitt"/>
    <w:rsid w:val="008C772F"/>
    <w:rPr>
      <w:rFonts w:ascii="Segoe UI" w:hAnsi="Segoe UI" w:cs="Segoe UI" w:hint="default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C373D0"/>
    <w:rPr>
      <w:color w:val="954F72" w:themeColor="followedHyperlink"/>
      <w:u w:val="single"/>
    </w:rPr>
  </w:style>
  <w:style w:type="paragraph" w:styleId="Revisjon">
    <w:name w:val="Revision"/>
    <w:hidden/>
    <w:uiPriority w:val="99"/>
    <w:semiHidden/>
    <w:rsid w:val="00BB4987"/>
    <w:pPr>
      <w:spacing w:after="0" w:line="240" w:lineRule="auto"/>
    </w:pPr>
  </w:style>
  <w:style w:type="character" w:styleId="Omtale">
    <w:name w:val="Mention"/>
    <w:basedOn w:val="Standardskriftforavsnitt"/>
    <w:uiPriority w:val="99"/>
    <w:unhideWhenUsed/>
    <w:rsid w:val="00260EC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utsche-flagge.de/en/competency/certificates/extension" TargetMode="External"/><Relationship Id="rId5" Type="http://schemas.openxmlformats.org/officeDocument/2006/relationships/hyperlink" Target="https://eur-lex.europa.eu/legal-content/EN/TXT/?uri=celex%3A32008L01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2220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Links>
    <vt:vector size="12" baseType="variant">
      <vt:variant>
        <vt:i4>1114198</vt:i4>
      </vt:variant>
      <vt:variant>
        <vt:i4>3</vt:i4>
      </vt:variant>
      <vt:variant>
        <vt:i4>0</vt:i4>
      </vt:variant>
      <vt:variant>
        <vt:i4>5</vt:i4>
      </vt:variant>
      <vt:variant>
        <vt:lpwstr>https://www.deutsche-flagge.de/en/competency/certificates/extension</vt:lpwstr>
      </vt:variant>
      <vt:variant>
        <vt:lpwstr>re-entering</vt:lpwstr>
      </vt:variant>
      <vt:variant>
        <vt:i4>7536762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https://eur-lex.europa.eu/legal-content/EN/TXT/?uri=celex%3A32008L0106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 C. Lem</dc:creator>
  <cp:keywords/>
  <dc:description/>
  <cp:lastModifiedBy>Unn C. Lem</cp:lastModifiedBy>
  <cp:revision>5</cp:revision>
  <dcterms:created xsi:type="dcterms:W3CDTF">2023-09-11T11:36:00Z</dcterms:created>
  <dcterms:modified xsi:type="dcterms:W3CDTF">2023-09-11T11:57:00Z</dcterms:modified>
</cp:coreProperties>
</file>