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3897" w14:textId="2E14CC59" w:rsidR="00C36E0D" w:rsidRDefault="0035496A" w:rsidP="00CF56CC">
      <w:pPr>
        <w:pStyle w:val="Pagedecouverture"/>
      </w:pPr>
      <w:r>
        <w:pict w14:anchorId="4A8E1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D5FE2BB-9B3B-4DD5-9CBE-832A0F80EBC7" style="width:455.25pt;height:414.75pt">
            <v:imagedata r:id="rId11" o:title=""/>
          </v:shape>
        </w:pict>
      </w:r>
    </w:p>
    <w:p w14:paraId="728EB47F" w14:textId="77777777" w:rsidR="00571B96" w:rsidRPr="00922C91" w:rsidRDefault="00571B96">
      <w:pPr>
        <w:sectPr w:rsidR="00571B96" w:rsidRPr="00922C91" w:rsidSect="00E80C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7AF5C74" w14:textId="57AEEAAD" w:rsidR="00571B96" w:rsidRPr="00922C91" w:rsidRDefault="00CF56CC" w:rsidP="00CF56CC">
      <w:pPr>
        <w:pStyle w:val="Typedudocument"/>
      </w:pPr>
      <w:r w:rsidRPr="00CF56CC">
        <w:lastRenderedPageBreak/>
        <w:t>COMMISSION IMPLEMENTING REGULATION (EU) …/...</w:t>
      </w:r>
    </w:p>
    <w:p w14:paraId="4D7AB2C5" w14:textId="18F3AFA8" w:rsidR="00571B96" w:rsidRPr="00922C91" w:rsidRDefault="00CF56CC" w:rsidP="00CF56CC">
      <w:pPr>
        <w:pStyle w:val="Datedadoption"/>
      </w:pPr>
      <w:r w:rsidRPr="00CF56CC">
        <w:t xml:space="preserve">of </w:t>
      </w:r>
      <w:r w:rsidRPr="00CF56CC">
        <w:rPr>
          <w:rStyle w:val="Marker2"/>
        </w:rPr>
        <w:t>XXX</w:t>
      </w:r>
    </w:p>
    <w:p w14:paraId="7729073B" w14:textId="153905E0" w:rsidR="00571B96" w:rsidRPr="00922C91" w:rsidRDefault="00CF56CC" w:rsidP="00CF56CC">
      <w:pPr>
        <w:pStyle w:val="Titreobjet"/>
      </w:pPr>
      <w:r w:rsidRPr="00CF56CC">
        <w:t>laying down rules for the application of Directive 2014/90/EU of the European Parliament and of the Council, as regards design, construction and performance requirements and testing standards for marine equipment and repealing Implementing Regulation (EU) 2022/1157</w:t>
      </w:r>
    </w:p>
    <w:p w14:paraId="7C075033" w14:textId="574D9512" w:rsidR="00571B96" w:rsidRPr="00571B96" w:rsidRDefault="00CF56CC" w:rsidP="00CF56CC">
      <w:pPr>
        <w:pStyle w:val="IntrtEEE"/>
      </w:pPr>
      <w:r w:rsidRPr="00CF56CC">
        <w:t>(Text with EEA relevance)</w:t>
      </w:r>
    </w:p>
    <w:p w14:paraId="3F9CB8C7" w14:textId="704599FB" w:rsidR="00571B96" w:rsidRPr="00922C91" w:rsidRDefault="00571B96" w:rsidP="004E1EF9">
      <w:pPr>
        <w:pStyle w:val="Institutionquiagit"/>
      </w:pPr>
      <w:r w:rsidRPr="00922C91">
        <w:t>THE EUROPEAN COMMISSION,</w:t>
      </w:r>
    </w:p>
    <w:p w14:paraId="7A6974B2" w14:textId="77777777" w:rsidR="00571B96" w:rsidRPr="00922C91" w:rsidRDefault="00571B96" w:rsidP="004E1EF9">
      <w:r w:rsidRPr="00922C91">
        <w:rPr>
          <w:color w:val="000000"/>
        </w:rPr>
        <w:t>Having regard to the Treaty on the Functioning of the European Union</w:t>
      </w:r>
      <w:r w:rsidRPr="00922C91">
        <w:t>,</w:t>
      </w:r>
    </w:p>
    <w:p w14:paraId="3AAEB8AA" w14:textId="53BCD8AB" w:rsidR="00833369" w:rsidRPr="00833369" w:rsidRDefault="006F39CC" w:rsidP="00BD371D">
      <w:pPr>
        <w:rPr>
          <w:noProof/>
        </w:rPr>
      </w:pPr>
      <w:r w:rsidRPr="006F39CC">
        <w:rPr>
          <w:noProof/>
        </w:rPr>
        <w:t>Having regard to Directive 2014/90/EU of the European Parliament and of the Council of 23 July 2014 on marine equipment and repea</w:t>
      </w:r>
      <w:r w:rsidR="00065951">
        <w:rPr>
          <w:noProof/>
        </w:rPr>
        <w:t>ling Council Directive 96/98/EC</w:t>
      </w:r>
      <w:r w:rsidR="005540B9">
        <w:rPr>
          <w:rStyle w:val="Fotnotereferanse"/>
          <w:noProof/>
        </w:rPr>
        <w:footnoteReference w:id="1"/>
      </w:r>
      <w:r w:rsidRPr="006F39CC">
        <w:rPr>
          <w:noProof/>
        </w:rPr>
        <w:t>, and in particular Article 35(2) thereof,</w:t>
      </w:r>
    </w:p>
    <w:p w14:paraId="5BEF3017" w14:textId="77777777" w:rsidR="00833369" w:rsidRPr="00833369" w:rsidRDefault="00833369" w:rsidP="00833369">
      <w:pPr>
        <w:rPr>
          <w:noProof/>
        </w:rPr>
      </w:pPr>
      <w:r w:rsidRPr="00833369">
        <w:rPr>
          <w:noProof/>
        </w:rPr>
        <w:t>Whereas:</w:t>
      </w:r>
    </w:p>
    <w:p w14:paraId="0214D680" w14:textId="1B8E9FE2" w:rsidR="00833369" w:rsidRPr="00F82B79" w:rsidRDefault="00833369" w:rsidP="00833369">
      <w:pPr>
        <w:pStyle w:val="ManualConsidrant"/>
        <w:rPr>
          <w:noProof/>
          <w:lang w:val="mt-MT"/>
        </w:rPr>
      </w:pPr>
      <w:r w:rsidRPr="00833369">
        <w:t>(1)</w:t>
      </w:r>
      <w:r w:rsidRPr="00833369">
        <w:tab/>
      </w:r>
      <w:r w:rsidR="00F82B79">
        <w:rPr>
          <w:noProof/>
          <w:lang w:val="mt-MT"/>
        </w:rPr>
        <w:t>T</w:t>
      </w:r>
      <w:r w:rsidR="00F82B79" w:rsidRPr="00F82B79">
        <w:rPr>
          <w:noProof/>
          <w:lang w:val="mt-MT"/>
        </w:rPr>
        <w:t>he design, construction and performance requirements and testing standards in respect of marine equipment falling within the scope of Directive 2014/90/EU</w:t>
      </w:r>
      <w:r w:rsidR="00F82B79">
        <w:rPr>
          <w:noProof/>
          <w:lang w:val="mt-MT"/>
        </w:rPr>
        <w:t xml:space="preserve"> are provided for in international instruments</w:t>
      </w:r>
      <w:r w:rsidR="0084738D">
        <w:rPr>
          <w:noProof/>
          <w:lang w:val="mt-MT"/>
        </w:rPr>
        <w:t>,</w:t>
      </w:r>
      <w:r w:rsidR="00F82B79">
        <w:rPr>
          <w:noProof/>
          <w:lang w:val="mt-MT"/>
        </w:rPr>
        <w:t xml:space="preserve"> defined in Article 2(5) of that Directive. </w:t>
      </w:r>
    </w:p>
    <w:p w14:paraId="1B3E79B4" w14:textId="5B853D3E" w:rsidR="000860D7" w:rsidRDefault="00833369" w:rsidP="00833369">
      <w:pPr>
        <w:pStyle w:val="ManualConsidrant"/>
        <w:rPr>
          <w:noProof/>
        </w:rPr>
      </w:pPr>
      <w:r w:rsidRPr="00833369">
        <w:rPr>
          <w:noProof/>
        </w:rPr>
        <w:t>(2)</w:t>
      </w:r>
      <w:r w:rsidRPr="00833369">
        <w:rPr>
          <w:noProof/>
        </w:rPr>
        <w:tab/>
        <w:t>In order to take into account the most recent changes</w:t>
      </w:r>
      <w:r w:rsidR="0084738D">
        <w:rPr>
          <w:noProof/>
        </w:rPr>
        <w:t xml:space="preserve"> </w:t>
      </w:r>
      <w:r w:rsidR="0084738D" w:rsidRPr="00190AC5">
        <w:rPr>
          <w:noProof/>
        </w:rPr>
        <w:t>to international</w:t>
      </w:r>
      <w:r w:rsidR="0084738D">
        <w:rPr>
          <w:noProof/>
        </w:rPr>
        <w:t xml:space="preserve"> instruments</w:t>
      </w:r>
      <w:r w:rsidRPr="00833369">
        <w:rPr>
          <w:noProof/>
        </w:rPr>
        <w:t>, the list of the applicable international instruments should be updated</w:t>
      </w:r>
      <w:r w:rsidR="0084738D">
        <w:rPr>
          <w:noProof/>
        </w:rPr>
        <w:t xml:space="preserve"> and </w:t>
      </w:r>
      <w:r w:rsidR="00190AC5">
        <w:rPr>
          <w:noProof/>
        </w:rPr>
        <w:t xml:space="preserve"> </w:t>
      </w:r>
      <w:r w:rsidR="0084738D">
        <w:rPr>
          <w:noProof/>
        </w:rPr>
        <w:t>m</w:t>
      </w:r>
      <w:r w:rsidR="00190AC5" w:rsidRPr="00190AC5">
        <w:rPr>
          <w:noProof/>
        </w:rPr>
        <w:t>arine equipment wh</w:t>
      </w:r>
      <w:r w:rsidR="00E949A6">
        <w:rPr>
          <w:noProof/>
        </w:rPr>
        <w:t>ich has</w:t>
      </w:r>
      <w:r w:rsidR="00190AC5" w:rsidRPr="00190AC5">
        <w:rPr>
          <w:noProof/>
        </w:rPr>
        <w:t xml:space="preserve"> become subject to harmonised Union requirements </w:t>
      </w:r>
      <w:r w:rsidR="0084738D">
        <w:rPr>
          <w:noProof/>
        </w:rPr>
        <w:t>pursuant to</w:t>
      </w:r>
      <w:r w:rsidR="0084738D" w:rsidRPr="00190AC5">
        <w:rPr>
          <w:noProof/>
        </w:rPr>
        <w:t xml:space="preserve"> </w:t>
      </w:r>
      <w:r w:rsidR="00190AC5" w:rsidRPr="00190AC5">
        <w:rPr>
          <w:noProof/>
        </w:rPr>
        <w:t xml:space="preserve">Directive 2014/90/EU following </w:t>
      </w:r>
      <w:r w:rsidR="0084738D">
        <w:rPr>
          <w:noProof/>
        </w:rPr>
        <w:t xml:space="preserve">those </w:t>
      </w:r>
      <w:r w:rsidR="00190AC5" w:rsidRPr="00190AC5">
        <w:rPr>
          <w:noProof/>
        </w:rPr>
        <w:t>changes</w:t>
      </w:r>
      <w:r w:rsidR="00190AC5">
        <w:rPr>
          <w:noProof/>
        </w:rPr>
        <w:t>, should be explicitly listed.</w:t>
      </w:r>
    </w:p>
    <w:p w14:paraId="5CE669C1" w14:textId="7F705C6F" w:rsidR="00833369" w:rsidRPr="00833369" w:rsidRDefault="000860D7" w:rsidP="00833369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</w:r>
      <w:r w:rsidR="00833369" w:rsidRPr="00833369">
        <w:t xml:space="preserve">Commission </w:t>
      </w:r>
      <w:r w:rsidR="00833369" w:rsidRPr="00833369">
        <w:rPr>
          <w:noProof/>
        </w:rPr>
        <w:t xml:space="preserve">Implementing Regulation </w:t>
      </w:r>
      <w:r w:rsidR="003A3655">
        <w:rPr>
          <w:noProof/>
        </w:rPr>
        <w:t xml:space="preserve">(EU) </w:t>
      </w:r>
      <w:r w:rsidR="00CF56CC" w:rsidRPr="00CF56CC">
        <w:rPr>
          <w:noProof/>
        </w:rPr>
        <w:t>2022/1157</w:t>
      </w:r>
      <w:r w:rsidR="000971DE">
        <w:rPr>
          <w:rStyle w:val="Fotnotereferanse"/>
          <w:noProof/>
        </w:rPr>
        <w:footnoteReference w:id="2"/>
      </w:r>
      <w:r w:rsidR="00CF56CC">
        <w:rPr>
          <w:noProof/>
        </w:rPr>
        <w:t xml:space="preserve"> </w:t>
      </w:r>
      <w:r w:rsidR="008113C9" w:rsidRPr="00B777BB">
        <w:rPr>
          <w:noProof/>
        </w:rPr>
        <w:t>should</w:t>
      </w:r>
      <w:r w:rsidR="008113C9">
        <w:rPr>
          <w:noProof/>
        </w:rPr>
        <w:t xml:space="preserve"> </w:t>
      </w:r>
      <w:r>
        <w:rPr>
          <w:noProof/>
        </w:rPr>
        <w:t xml:space="preserve">therefore </w:t>
      </w:r>
      <w:r w:rsidR="008113C9">
        <w:rPr>
          <w:noProof/>
        </w:rPr>
        <w:t>be repealed</w:t>
      </w:r>
      <w:r w:rsidR="004E74E0">
        <w:rPr>
          <w:noProof/>
        </w:rPr>
        <w:t>.</w:t>
      </w:r>
    </w:p>
    <w:p w14:paraId="0E7406D4" w14:textId="13FF57B9" w:rsidR="00833369" w:rsidRDefault="00833369" w:rsidP="00833369">
      <w:pPr>
        <w:pStyle w:val="ManualConsidrant"/>
        <w:rPr>
          <w:noProof/>
        </w:rPr>
      </w:pPr>
      <w:r w:rsidRPr="00833369">
        <w:t>(4)</w:t>
      </w:r>
      <w:r w:rsidRPr="00833369">
        <w:tab/>
      </w:r>
      <w:r w:rsidRPr="00833369">
        <w:rPr>
          <w:noProof/>
        </w:rPr>
        <w:t xml:space="preserve">It is reasonable and proportionate to allow </w:t>
      </w:r>
      <w:r w:rsidR="00F82B79">
        <w:rPr>
          <w:noProof/>
        </w:rPr>
        <w:t xml:space="preserve">a transitional period during which </w:t>
      </w:r>
      <w:r w:rsidRPr="00833369">
        <w:rPr>
          <w:noProof/>
        </w:rPr>
        <w:t xml:space="preserve">a new </w:t>
      </w:r>
      <w:r w:rsidR="005567C2">
        <w:rPr>
          <w:noProof/>
        </w:rPr>
        <w:t>item of marine equipment</w:t>
      </w:r>
      <w:r w:rsidRPr="00833369">
        <w:rPr>
          <w:noProof/>
        </w:rPr>
        <w:t xml:space="preserve"> which is in conformity with the national requirements for type-approval in force in a Member State before </w:t>
      </w:r>
      <w:r w:rsidRPr="000E66E2">
        <w:rPr>
          <w:noProof/>
        </w:rPr>
        <w:t>the entry into force of this Regulation</w:t>
      </w:r>
      <w:r w:rsidR="00F82B79">
        <w:rPr>
          <w:noProof/>
        </w:rPr>
        <w:t>,</w:t>
      </w:r>
      <w:r w:rsidRPr="00833369">
        <w:rPr>
          <w:noProof/>
        </w:rPr>
        <w:t xml:space="preserve"> </w:t>
      </w:r>
      <w:r w:rsidR="00F82B79">
        <w:rPr>
          <w:noProof/>
        </w:rPr>
        <w:t>can</w:t>
      </w:r>
      <w:r w:rsidRPr="00833369">
        <w:rPr>
          <w:noProof/>
        </w:rPr>
        <w:t xml:space="preserve"> continue to be placed on the market and on board </w:t>
      </w:r>
      <w:r w:rsidRPr="00320834">
        <w:rPr>
          <w:noProof/>
        </w:rPr>
        <w:t>an EU ship</w:t>
      </w:r>
      <w:r w:rsidR="005567C2">
        <w:rPr>
          <w:noProof/>
        </w:rPr>
        <w:t>,</w:t>
      </w:r>
      <w:r w:rsidRPr="00833369">
        <w:rPr>
          <w:noProof/>
        </w:rPr>
        <w:t xml:space="preserve"> </w:t>
      </w:r>
      <w:r w:rsidR="00320834" w:rsidRPr="0036363F">
        <w:rPr>
          <w:noProof/>
          <w:lang w:val="en-US"/>
        </w:rPr>
        <w:t>as defined in Article 2(2) of Directive 2014/90/EU</w:t>
      </w:r>
      <w:r w:rsidRPr="0036363F">
        <w:rPr>
          <w:noProof/>
        </w:rPr>
        <w:t>.</w:t>
      </w:r>
    </w:p>
    <w:p w14:paraId="1436B435" w14:textId="0F141F0E" w:rsidR="00833369" w:rsidRDefault="00833369" w:rsidP="00833369">
      <w:pPr>
        <w:pStyle w:val="ManualConsidrant"/>
        <w:rPr>
          <w:noProof/>
        </w:rPr>
      </w:pPr>
      <w:r w:rsidRPr="00E24ABA">
        <w:t>(5)</w:t>
      </w:r>
      <w:r w:rsidRPr="00E24ABA">
        <w:tab/>
      </w:r>
      <w:r w:rsidRPr="00E24ABA">
        <w:rPr>
          <w:noProof/>
        </w:rPr>
        <w:t>In order to facilitate a harmonised, rapid and simple implementation of Directive 2014/90/EU, implementing acts adopted pursuant to that Directive should take the form of Implementing Regulations</w:t>
      </w:r>
      <w:r w:rsidR="005567C2">
        <w:rPr>
          <w:noProof/>
        </w:rPr>
        <w:t xml:space="preserve">, </w:t>
      </w:r>
      <w:r w:rsidR="00BD371D">
        <w:rPr>
          <w:noProof/>
        </w:rPr>
        <w:t>in accordance with</w:t>
      </w:r>
      <w:r w:rsidR="005567C2">
        <w:rPr>
          <w:noProof/>
        </w:rPr>
        <w:t xml:space="preserve"> Article 35(5) of that Directive</w:t>
      </w:r>
      <w:r w:rsidRPr="00E24ABA">
        <w:rPr>
          <w:noProof/>
        </w:rPr>
        <w:t>.</w:t>
      </w:r>
    </w:p>
    <w:p w14:paraId="284A1015" w14:textId="2D602A7E" w:rsidR="00BE7C09" w:rsidRPr="00833369" w:rsidRDefault="00BE7C09" w:rsidP="00BE7C09">
      <w:pPr>
        <w:pStyle w:val="ManualConsidrant"/>
        <w:rPr>
          <w:noProof/>
        </w:rPr>
      </w:pPr>
      <w:r>
        <w:t>(6)</w:t>
      </w:r>
      <w:r>
        <w:tab/>
      </w:r>
      <w:r w:rsidRPr="00BE7C09">
        <w:rPr>
          <w:noProof/>
        </w:rPr>
        <w:t xml:space="preserve">In order to allow </w:t>
      </w:r>
      <w:r w:rsidR="0036363F">
        <w:rPr>
          <w:noProof/>
        </w:rPr>
        <w:t>the marine equipment industry and other</w:t>
      </w:r>
      <w:r w:rsidRPr="00BE7C09">
        <w:rPr>
          <w:noProof/>
        </w:rPr>
        <w:t xml:space="preserve"> </w:t>
      </w:r>
      <w:r>
        <w:rPr>
          <w:noProof/>
        </w:rPr>
        <w:t>stakeholders</w:t>
      </w:r>
      <w:r w:rsidRPr="00BE7C09">
        <w:rPr>
          <w:noProof/>
        </w:rPr>
        <w:t xml:space="preserve"> to adapt to the measures provided for in this Regulation, this Regulation should enter into force </w:t>
      </w:r>
      <w:r>
        <w:rPr>
          <w:noProof/>
        </w:rPr>
        <w:t>40</w:t>
      </w:r>
      <w:r w:rsidRPr="00BE7C09">
        <w:rPr>
          <w:noProof/>
        </w:rPr>
        <w:t xml:space="preserve"> day</w:t>
      </w:r>
      <w:r>
        <w:rPr>
          <w:noProof/>
        </w:rPr>
        <w:t>s</w:t>
      </w:r>
      <w:r w:rsidRPr="00BE7C09">
        <w:rPr>
          <w:noProof/>
        </w:rPr>
        <w:t xml:space="preserve"> following its publication in the </w:t>
      </w:r>
      <w:r w:rsidRPr="00D41A57">
        <w:rPr>
          <w:i/>
          <w:iCs/>
          <w:noProof/>
        </w:rPr>
        <w:t>Official Journal of the European Union</w:t>
      </w:r>
      <w:r>
        <w:rPr>
          <w:noProof/>
        </w:rPr>
        <w:t>.</w:t>
      </w:r>
    </w:p>
    <w:p w14:paraId="11AC09C8" w14:textId="0603012D" w:rsidR="00833369" w:rsidRPr="00833369" w:rsidRDefault="0036363F" w:rsidP="00833369">
      <w:pPr>
        <w:pStyle w:val="ManualConsidrant"/>
        <w:rPr>
          <w:noProof/>
        </w:rPr>
      </w:pPr>
      <w:r>
        <w:lastRenderedPageBreak/>
        <w:t>(7</w:t>
      </w:r>
      <w:r w:rsidR="00833369" w:rsidRPr="00833369">
        <w:t>)</w:t>
      </w:r>
      <w:r w:rsidR="00833369" w:rsidRPr="00833369">
        <w:tab/>
      </w:r>
      <w:r w:rsidR="00833369" w:rsidRPr="00833369">
        <w:rPr>
          <w:noProof/>
        </w:rPr>
        <w:t>The measures provided for in this Regulation are in accordance with the opinion of the Committee on Safe Seas and the Prevention of Pollution from Ships</w:t>
      </w:r>
      <w:r w:rsidR="00190AC5">
        <w:rPr>
          <w:noProof/>
        </w:rPr>
        <w:t xml:space="preserve"> established by </w:t>
      </w:r>
      <w:r w:rsidR="00190AC5" w:rsidRPr="00190AC5">
        <w:rPr>
          <w:noProof/>
        </w:rPr>
        <w:t>Regulation (EC) No 2099/2002</w:t>
      </w:r>
      <w:r w:rsidR="00190AC5">
        <w:rPr>
          <w:noProof/>
        </w:rPr>
        <w:t xml:space="preserve"> </w:t>
      </w:r>
      <w:r w:rsidR="00190AC5" w:rsidRPr="00190AC5">
        <w:rPr>
          <w:noProof/>
        </w:rPr>
        <w:t>of the European Parliament and of the Council</w:t>
      </w:r>
      <w:r w:rsidR="00190AC5">
        <w:rPr>
          <w:rStyle w:val="Fotnotereferanse"/>
          <w:noProof/>
        </w:rPr>
        <w:footnoteReference w:id="3"/>
      </w:r>
      <w:r w:rsidR="00833369" w:rsidRPr="00833369">
        <w:rPr>
          <w:noProof/>
        </w:rPr>
        <w:t xml:space="preserve">, </w:t>
      </w:r>
    </w:p>
    <w:p w14:paraId="0FFFFDCC" w14:textId="77777777" w:rsidR="00571B96" w:rsidRPr="00922C91" w:rsidRDefault="00571B96" w:rsidP="004E1EF9">
      <w:pPr>
        <w:pStyle w:val="Formuledadoption"/>
      </w:pPr>
      <w:r w:rsidRPr="00922C91">
        <w:t>HAS ADOPTED THIS REGULATION:</w:t>
      </w:r>
    </w:p>
    <w:p w14:paraId="6AB8412A" w14:textId="371DC014" w:rsidR="004E74E0" w:rsidRDefault="004E74E0" w:rsidP="004E74E0">
      <w:pPr>
        <w:pStyle w:val="Titrearticle"/>
        <w:rPr>
          <w:noProof/>
        </w:rPr>
      </w:pPr>
      <w:r w:rsidRPr="004E74E0">
        <w:rPr>
          <w:noProof/>
        </w:rPr>
        <w:t>Article 1</w:t>
      </w:r>
    </w:p>
    <w:p w14:paraId="0B5E82DB" w14:textId="1311874C" w:rsidR="00FB313D" w:rsidRPr="00FB313D" w:rsidRDefault="00FB313D" w:rsidP="00FB313D">
      <w:r>
        <w:rPr>
          <w:noProof/>
        </w:rPr>
        <w:t>The design, construction and performance requirements and the testing standards provided for in the international instruments</w:t>
      </w:r>
      <w:r w:rsidR="00BD371D">
        <w:rPr>
          <w:noProof/>
        </w:rPr>
        <w:t>,</w:t>
      </w:r>
      <w:r>
        <w:rPr>
          <w:noProof/>
        </w:rPr>
        <w:t xml:space="preserve">  </w:t>
      </w:r>
      <w:r>
        <w:rPr>
          <w:noProof/>
          <w:lang w:val="mt-MT"/>
        </w:rPr>
        <w:t xml:space="preserve">defined in Article 2(5) of </w:t>
      </w:r>
      <w:r>
        <w:rPr>
          <w:noProof/>
        </w:rPr>
        <w:t>Directive 2014/90/EU</w:t>
      </w:r>
      <w:r w:rsidR="00BD371D">
        <w:rPr>
          <w:noProof/>
        </w:rPr>
        <w:t>,</w:t>
      </w:r>
      <w:r>
        <w:rPr>
          <w:noProof/>
        </w:rPr>
        <w:t xml:space="preserve"> shall apply to each item of marine equipment listed in the Annex to this Regulation.</w:t>
      </w:r>
    </w:p>
    <w:p w14:paraId="6FBB06D0" w14:textId="43E76D4F" w:rsidR="005E046C" w:rsidRPr="00B777BB" w:rsidRDefault="005E046C" w:rsidP="005E046C">
      <w:pPr>
        <w:pStyle w:val="Titrearticle"/>
        <w:rPr>
          <w:noProof/>
        </w:rPr>
      </w:pPr>
      <w:r w:rsidRPr="00B777BB">
        <w:rPr>
          <w:noProof/>
        </w:rPr>
        <w:t>Article 2</w:t>
      </w:r>
    </w:p>
    <w:p w14:paraId="750154AB" w14:textId="43503D8D" w:rsidR="005E046C" w:rsidRPr="004E74E0" w:rsidRDefault="005E046C" w:rsidP="005E046C">
      <w:pPr>
        <w:rPr>
          <w:noProof/>
          <w:szCs w:val="24"/>
        </w:rPr>
      </w:pPr>
      <w:r w:rsidRPr="000C49BD">
        <w:rPr>
          <w:noProof/>
          <w:szCs w:val="24"/>
        </w:rPr>
        <w:t xml:space="preserve">Implementing Regulation </w:t>
      </w:r>
      <w:r w:rsidR="003A3655">
        <w:rPr>
          <w:noProof/>
          <w:szCs w:val="24"/>
        </w:rPr>
        <w:t xml:space="preserve">(EU) </w:t>
      </w:r>
      <w:r w:rsidR="00CF56CC" w:rsidRPr="00CF56CC">
        <w:rPr>
          <w:noProof/>
          <w:szCs w:val="24"/>
        </w:rPr>
        <w:t>2022/1157</w:t>
      </w:r>
      <w:r w:rsidR="00CF56CC">
        <w:rPr>
          <w:noProof/>
          <w:szCs w:val="24"/>
        </w:rPr>
        <w:t xml:space="preserve"> </w:t>
      </w:r>
      <w:r w:rsidRPr="000C49BD">
        <w:rPr>
          <w:noProof/>
          <w:szCs w:val="24"/>
        </w:rPr>
        <w:t>is repealed.</w:t>
      </w:r>
    </w:p>
    <w:p w14:paraId="35B47B25" w14:textId="205942DF" w:rsidR="004E74E0" w:rsidRPr="005E046C" w:rsidRDefault="004E74E0" w:rsidP="004E74E0">
      <w:pPr>
        <w:pStyle w:val="Titrearticle"/>
        <w:rPr>
          <w:noProof/>
        </w:rPr>
      </w:pPr>
      <w:r w:rsidRPr="005E046C">
        <w:rPr>
          <w:noProof/>
        </w:rPr>
        <w:t xml:space="preserve">Article </w:t>
      </w:r>
      <w:r w:rsidR="005E046C">
        <w:rPr>
          <w:noProof/>
        </w:rPr>
        <w:t>3</w:t>
      </w:r>
    </w:p>
    <w:p w14:paraId="57D81DCF" w14:textId="4EF443A4" w:rsidR="00BA7DFC" w:rsidRDefault="00FB313D" w:rsidP="002A32D8">
      <w:pPr>
        <w:rPr>
          <w:noProof/>
          <w:szCs w:val="24"/>
        </w:rPr>
      </w:pPr>
      <w:r>
        <w:rPr>
          <w:noProof/>
          <w:szCs w:val="24"/>
        </w:rPr>
        <w:t>1.</w:t>
      </w:r>
      <w:r w:rsidR="002A32D8">
        <w:rPr>
          <w:noProof/>
          <w:szCs w:val="24"/>
        </w:rPr>
        <w:t xml:space="preserve"> </w:t>
      </w:r>
      <w:r w:rsidR="00BA7DFC" w:rsidRPr="00BA7DFC">
        <w:rPr>
          <w:noProof/>
          <w:szCs w:val="24"/>
        </w:rPr>
        <w:t>Marine equipment listed as a ‘new item inserted by Implementing Regulation (EU) 2021/1158’ in column 1 of the Annex, which is in compliance with the national requirements</w:t>
      </w:r>
      <w:r w:rsidR="00BD371D">
        <w:rPr>
          <w:noProof/>
          <w:szCs w:val="24"/>
        </w:rPr>
        <w:t xml:space="preserve"> </w:t>
      </w:r>
      <w:r w:rsidR="00BA7DFC" w:rsidRPr="00BA7DFC">
        <w:rPr>
          <w:noProof/>
          <w:szCs w:val="24"/>
        </w:rPr>
        <w:t xml:space="preserve"> for type-approval in force before 25 August 2021 in a Member State, may continue to be placed on the market and on board an EU ship until 25 August 2024. </w:t>
      </w:r>
    </w:p>
    <w:p w14:paraId="395AC5F3" w14:textId="247B5E59" w:rsidR="00BA7DFC" w:rsidRDefault="00FB313D" w:rsidP="004E74E0">
      <w:pPr>
        <w:rPr>
          <w:noProof/>
          <w:szCs w:val="24"/>
        </w:rPr>
      </w:pPr>
      <w:r>
        <w:rPr>
          <w:noProof/>
          <w:szCs w:val="24"/>
        </w:rPr>
        <w:t xml:space="preserve">2. </w:t>
      </w:r>
      <w:r w:rsidR="00BA7DFC" w:rsidRPr="00BA7DFC">
        <w:rPr>
          <w:noProof/>
          <w:szCs w:val="24"/>
        </w:rPr>
        <w:t>Marine equipment listed as a ‘new item inserted by Implementing Regulation (EU) 2022/1157’ in column 1 of the Annex, which is in compliance with the national requirements for type-approval in force before 15 August 2022 in a Member State, may continue to be placed on the market and on board an EU ship until 15 August 2025.</w:t>
      </w:r>
    </w:p>
    <w:p w14:paraId="7D7D0E79" w14:textId="77777777" w:rsidR="004E74E0" w:rsidRPr="004E74E0" w:rsidRDefault="004E74E0" w:rsidP="004E74E0">
      <w:pPr>
        <w:pStyle w:val="Titrearticle"/>
        <w:rPr>
          <w:noProof/>
        </w:rPr>
      </w:pPr>
      <w:r w:rsidRPr="004E74E0">
        <w:rPr>
          <w:noProof/>
        </w:rPr>
        <w:t>Article 4</w:t>
      </w:r>
    </w:p>
    <w:p w14:paraId="41A13A2F" w14:textId="7F5B98CF" w:rsidR="004E74E0" w:rsidRPr="004E74E0" w:rsidRDefault="004E74E0" w:rsidP="004E74E0">
      <w:pPr>
        <w:rPr>
          <w:noProof/>
        </w:rPr>
      </w:pPr>
      <w:r w:rsidRPr="004E74E0">
        <w:rPr>
          <w:noProof/>
        </w:rPr>
        <w:t xml:space="preserve">This Regulation shall enter into force on the </w:t>
      </w:r>
      <w:r w:rsidR="001F56C3" w:rsidRPr="001F56C3">
        <w:rPr>
          <w:noProof/>
        </w:rPr>
        <w:t>fortieth</w:t>
      </w:r>
      <w:r w:rsidRPr="004E74E0">
        <w:rPr>
          <w:noProof/>
        </w:rPr>
        <w:t xml:space="preserve"> day</w:t>
      </w:r>
      <w:r w:rsidR="005F3B9F">
        <w:rPr>
          <w:noProof/>
        </w:rPr>
        <w:t xml:space="preserve"> </w:t>
      </w:r>
      <w:r w:rsidRPr="004E74E0">
        <w:rPr>
          <w:noProof/>
        </w:rPr>
        <w:t xml:space="preserve">following that of its publication in the </w:t>
      </w:r>
      <w:r w:rsidRPr="004E74E0">
        <w:rPr>
          <w:i/>
          <w:noProof/>
        </w:rPr>
        <w:t>Official Journal of the European Union</w:t>
      </w:r>
      <w:r w:rsidRPr="004E74E0">
        <w:rPr>
          <w:noProof/>
        </w:rPr>
        <w:t xml:space="preserve">. </w:t>
      </w:r>
      <w:r w:rsidR="00254253">
        <w:rPr>
          <w:noProof/>
        </w:rPr>
        <w:t xml:space="preserve"> </w:t>
      </w:r>
    </w:p>
    <w:p w14:paraId="6141EB39" w14:textId="77777777" w:rsidR="00571B96" w:rsidRDefault="00571B96" w:rsidP="008F6C98">
      <w:pPr>
        <w:pStyle w:val="Applicationdirecte"/>
      </w:pPr>
      <w:r w:rsidRPr="00922C91">
        <w:t>This Regulation shall be binding in its entirety and directly applicable in all Member States.</w:t>
      </w:r>
    </w:p>
    <w:p w14:paraId="38E9D4DB" w14:textId="55392D0F" w:rsidR="00571B96" w:rsidRDefault="00CF56CC" w:rsidP="00CF56CC">
      <w:pPr>
        <w:pStyle w:val="Fait"/>
      </w:pPr>
      <w:r w:rsidRPr="00CF56CC">
        <w:t>Done at Brussels,</w:t>
      </w:r>
    </w:p>
    <w:p w14:paraId="7D97A5A7" w14:textId="77777777" w:rsidR="00571B96" w:rsidRDefault="00571B96" w:rsidP="00571B96">
      <w:pPr>
        <w:pStyle w:val="Institutionquisigne"/>
      </w:pPr>
      <w:r w:rsidRPr="00571B96">
        <w:tab/>
        <w:t>For the Commission</w:t>
      </w:r>
    </w:p>
    <w:p w14:paraId="233B02AC" w14:textId="77777777" w:rsidR="00BB0903" w:rsidRDefault="00571B96" w:rsidP="00571B96">
      <w:pPr>
        <w:pStyle w:val="Personnequisigne"/>
        <w:rPr>
          <w:lang w:val="de-DE"/>
        </w:rPr>
      </w:pPr>
      <w:r w:rsidRPr="00571B96">
        <w:tab/>
      </w:r>
      <w:r w:rsidRPr="00A431B8">
        <w:rPr>
          <w:lang w:val="de-DE"/>
        </w:rPr>
        <w:t>The</w:t>
      </w:r>
      <w:r w:rsidRPr="00A762DB">
        <w:rPr>
          <w:lang w:val="de-DE"/>
        </w:rPr>
        <w:t xml:space="preserve"> </w:t>
      </w:r>
      <w:proofErr w:type="spellStart"/>
      <w:r w:rsidRPr="00A762DB">
        <w:rPr>
          <w:lang w:val="de-DE"/>
        </w:rPr>
        <w:t>President</w:t>
      </w:r>
      <w:proofErr w:type="spellEnd"/>
    </w:p>
    <w:p w14:paraId="3DBAFE8A" w14:textId="14C2DD50" w:rsidR="00571B96" w:rsidRPr="00A431B8" w:rsidRDefault="00571B96" w:rsidP="00571B96">
      <w:pPr>
        <w:pStyle w:val="Personnequisigne"/>
        <w:rPr>
          <w:lang w:val="de-DE"/>
        </w:rPr>
      </w:pPr>
      <w:r w:rsidRPr="00A431B8">
        <w:rPr>
          <w:lang w:val="de-DE"/>
        </w:rPr>
        <w:br/>
      </w:r>
      <w:r w:rsidRPr="00A431B8">
        <w:rPr>
          <w:lang w:val="de-DE"/>
        </w:rPr>
        <w:tab/>
      </w:r>
      <w:r w:rsidR="00EA097C" w:rsidRPr="00A431B8">
        <w:rPr>
          <w:lang w:val="de-DE"/>
        </w:rPr>
        <w:t xml:space="preserve">Ursula VON DER LEYEN </w:t>
      </w:r>
    </w:p>
    <w:sectPr w:rsidR="00571B96" w:rsidRPr="00A431B8" w:rsidSect="00E80C51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217F" w14:textId="77777777" w:rsidR="00571B96" w:rsidRDefault="00571B96" w:rsidP="00571B96">
      <w:pPr>
        <w:spacing w:before="0" w:after="0"/>
      </w:pPr>
      <w:r>
        <w:separator/>
      </w:r>
    </w:p>
  </w:endnote>
  <w:endnote w:type="continuationSeparator" w:id="0">
    <w:p w14:paraId="08097E7A" w14:textId="77777777" w:rsidR="00571B96" w:rsidRDefault="00571B96" w:rsidP="00571B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E04E" w14:textId="77777777" w:rsidR="00C05E02" w:rsidRDefault="00C05E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524D" w14:textId="7B870CDF" w:rsidR="00685E50" w:rsidRPr="00E80C51" w:rsidRDefault="00E80C51" w:rsidP="00E80C51">
    <w:pPr>
      <w:pStyle w:val="Bunntekst"/>
      <w:rPr>
        <w:rFonts w:ascii="Arial" w:hAnsi="Arial" w:cs="Arial"/>
        <w:b/>
        <w:sz w:val="48"/>
      </w:rPr>
    </w:pPr>
    <w:r w:rsidRPr="00E80C51">
      <w:rPr>
        <w:rFonts w:ascii="Arial" w:hAnsi="Arial" w:cs="Arial"/>
        <w:b/>
        <w:sz w:val="48"/>
      </w:rPr>
      <w:t>EN</w:t>
    </w:r>
    <w:r w:rsidRPr="00E80C51">
      <w:rPr>
        <w:rFonts w:ascii="Arial" w:hAnsi="Arial" w:cs="Arial"/>
        <w:b/>
        <w:sz w:val="48"/>
      </w:rPr>
      <w:tab/>
    </w:r>
    <w:r w:rsidRPr="00E80C51">
      <w:rPr>
        <w:rFonts w:ascii="Arial" w:hAnsi="Arial" w:cs="Arial"/>
        <w:b/>
        <w:sz w:val="48"/>
      </w:rPr>
      <w:tab/>
    </w:r>
    <w:r w:rsidRPr="00E80C51">
      <w:tab/>
    </w:r>
    <w:proofErr w:type="spellStart"/>
    <w:r w:rsidRPr="00E80C51">
      <w:rPr>
        <w:rFonts w:ascii="Arial" w:hAnsi="Arial" w:cs="Arial"/>
        <w:b/>
        <w:sz w:val="48"/>
      </w:rPr>
      <w:t>EN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DBB2" w14:textId="77777777" w:rsidR="00C05E02" w:rsidRDefault="00C05E02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6994" w14:textId="06D5AB5F" w:rsidR="00E80C51" w:rsidRPr="00E80C51" w:rsidRDefault="00E80C51" w:rsidP="00E80C51">
    <w:pPr>
      <w:pStyle w:val="Bunntekst"/>
      <w:rPr>
        <w:rFonts w:ascii="Arial" w:hAnsi="Arial" w:cs="Arial"/>
        <w:b/>
        <w:sz w:val="48"/>
      </w:rPr>
    </w:pPr>
    <w:r w:rsidRPr="00E80C51">
      <w:rPr>
        <w:rFonts w:ascii="Arial" w:hAnsi="Arial" w:cs="Arial"/>
        <w:b/>
        <w:sz w:val="48"/>
      </w:rPr>
      <w:t>EN</w:t>
    </w:r>
    <w:r w:rsidRPr="00E80C5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7B1FFA">
      <w:rPr>
        <w:noProof/>
      </w:rPr>
      <w:t>2</w:t>
    </w:r>
    <w:r>
      <w:fldChar w:fldCharType="end"/>
    </w:r>
    <w:r>
      <w:tab/>
    </w:r>
    <w:r w:rsidRPr="00E80C51">
      <w:tab/>
    </w:r>
    <w:r w:rsidRPr="00E80C51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EF74" w14:textId="77777777" w:rsidR="00E80C51" w:rsidRPr="00E80C51" w:rsidRDefault="00E80C51" w:rsidP="00E80C5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8FAB" w14:textId="77777777" w:rsidR="00571B96" w:rsidRDefault="00571B96" w:rsidP="00571B96">
      <w:pPr>
        <w:spacing w:before="0" w:after="0"/>
      </w:pPr>
      <w:r>
        <w:separator/>
      </w:r>
    </w:p>
  </w:footnote>
  <w:footnote w:type="continuationSeparator" w:id="0">
    <w:p w14:paraId="74288674" w14:textId="77777777" w:rsidR="00571B96" w:rsidRDefault="00571B96" w:rsidP="00571B96">
      <w:pPr>
        <w:spacing w:before="0" w:after="0"/>
      </w:pPr>
      <w:r>
        <w:continuationSeparator/>
      </w:r>
    </w:p>
  </w:footnote>
  <w:footnote w:id="1">
    <w:p w14:paraId="5D11345C" w14:textId="78CE595F" w:rsidR="005540B9" w:rsidRPr="00A762DB" w:rsidRDefault="005540B9">
      <w:pPr>
        <w:pStyle w:val="Fotnotetekst"/>
        <w:rPr>
          <w:lang w:val="mt-MT"/>
        </w:rPr>
      </w:pPr>
      <w:r w:rsidRPr="00E73677">
        <w:rPr>
          <w:rStyle w:val="Fotnotereferanse"/>
        </w:rPr>
        <w:footnoteRef/>
      </w:r>
      <w:r w:rsidR="00E73677">
        <w:tab/>
      </w:r>
      <w:r w:rsidRPr="005540B9">
        <w:t>OJ L 257, 28.8.2014, p. 146</w:t>
      </w:r>
      <w:r>
        <w:rPr>
          <w:lang w:val="mt-MT"/>
        </w:rPr>
        <w:t>.</w:t>
      </w:r>
    </w:p>
  </w:footnote>
  <w:footnote w:id="2">
    <w:p w14:paraId="14970C35" w14:textId="747D9F89" w:rsidR="000971DE" w:rsidRPr="00D41A57" w:rsidRDefault="000971DE">
      <w:pPr>
        <w:pStyle w:val="Fotnotetekst"/>
        <w:rPr>
          <w:lang w:val="en-IE"/>
        </w:rPr>
      </w:pPr>
      <w:r>
        <w:rPr>
          <w:rStyle w:val="Fotnotereferanse"/>
        </w:rPr>
        <w:footnoteRef/>
      </w:r>
      <w:r>
        <w:t xml:space="preserve"> </w:t>
      </w:r>
      <w:r w:rsidRPr="00D41A57">
        <w:rPr>
          <w:lang w:val="en-IE"/>
        </w:rPr>
        <w:tab/>
        <w:t>Commission Implementing Regulation (EU) 2022/1157 of 4 July 2022 laying down rules for the application of Directive 2014/90/EU of the European Parliament and of the Council, as regards design, construction and performance requirements and testing standards for marine equipment and repealing Implementing Regulation (EU) 2021/1158</w:t>
      </w:r>
      <w:r>
        <w:rPr>
          <w:lang w:val="en-IE"/>
        </w:rPr>
        <w:t xml:space="preserve"> (OJ L 180, 6.7.2022, p.1).</w:t>
      </w:r>
    </w:p>
  </w:footnote>
  <w:footnote w:id="3">
    <w:p w14:paraId="0EAB3360" w14:textId="23B2F997" w:rsidR="00190AC5" w:rsidRPr="00190AC5" w:rsidRDefault="00190AC5" w:rsidP="00190AC5">
      <w:pPr>
        <w:pStyle w:val="Fotnotetekst"/>
      </w:pPr>
      <w:r w:rsidRPr="00BF545D">
        <w:rPr>
          <w:rStyle w:val="Fotnotereferanse"/>
        </w:rPr>
        <w:footnoteRef/>
      </w:r>
      <w:r w:rsidR="00BF545D">
        <w:tab/>
      </w:r>
      <w:r>
        <w:t>Regulation (EC) No 2099/2002 of the European Parliament and of the Council of 5 November 2002 establishing a Committee on Safe Seas and the Prevention of Pollution from Ships (COSS) and amending the Regulations on maritime safety and the prevention of pollution from ships (OJ L 324, 29.11.2002, p.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CD9C" w14:textId="77777777" w:rsidR="00C05E02" w:rsidRDefault="00C05E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E521" w14:textId="77777777" w:rsidR="00C05E02" w:rsidRDefault="00C05E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0D4E" w14:textId="77777777" w:rsidR="00C05E02" w:rsidRDefault="00C05E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102293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3040A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FA6FC7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5DF271B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8E2033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8CCA4B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8E6E4B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6AD2D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2FC077D"/>
    <w:multiLevelType w:val="singleLevel"/>
    <w:tmpl w:val="4128FD03"/>
    <w:name w:val="Tiret 5"/>
    <w:lvl w:ilvl="0">
      <w:start w:val="1"/>
      <w:numFmt w:val="bullet"/>
      <w:lvlRestart w:val="0"/>
      <w:pStyle w:val="Tiret5"/>
      <w:lvlText w:val="–"/>
      <w:lvlJc w:val="left"/>
      <w:pPr>
        <w:tabs>
          <w:tab w:val="num" w:pos="3685"/>
        </w:tabs>
        <w:ind w:left="3685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232083457">
    <w:abstractNumId w:val="7"/>
  </w:num>
  <w:num w:numId="2" w16cid:durableId="1984037366">
    <w:abstractNumId w:val="5"/>
  </w:num>
  <w:num w:numId="3" w16cid:durableId="1638342285">
    <w:abstractNumId w:val="4"/>
  </w:num>
  <w:num w:numId="4" w16cid:durableId="1656689784">
    <w:abstractNumId w:val="3"/>
  </w:num>
  <w:num w:numId="5" w16cid:durableId="1676221582">
    <w:abstractNumId w:val="6"/>
  </w:num>
  <w:num w:numId="6" w16cid:durableId="808480818">
    <w:abstractNumId w:val="2"/>
  </w:num>
  <w:num w:numId="7" w16cid:durableId="510223412">
    <w:abstractNumId w:val="1"/>
  </w:num>
  <w:num w:numId="8" w16cid:durableId="1935287846">
    <w:abstractNumId w:val="0"/>
  </w:num>
  <w:num w:numId="9" w16cid:durableId="1295254662">
    <w:abstractNumId w:val="19"/>
  </w:num>
  <w:num w:numId="10" w16cid:durableId="81336168">
    <w:abstractNumId w:val="12"/>
  </w:num>
  <w:num w:numId="11" w16cid:durableId="431975893">
    <w:abstractNumId w:val="21"/>
  </w:num>
  <w:num w:numId="12" w16cid:durableId="1473056984">
    <w:abstractNumId w:val="11"/>
  </w:num>
  <w:num w:numId="13" w16cid:durableId="1570075696">
    <w:abstractNumId w:val="13"/>
  </w:num>
  <w:num w:numId="14" w16cid:durableId="2108039257">
    <w:abstractNumId w:val="9"/>
  </w:num>
  <w:num w:numId="15" w16cid:durableId="6905843">
    <w:abstractNumId w:val="20"/>
  </w:num>
  <w:num w:numId="16" w16cid:durableId="1897740599">
    <w:abstractNumId w:val="8"/>
  </w:num>
  <w:num w:numId="17" w16cid:durableId="558132806">
    <w:abstractNumId w:val="15"/>
  </w:num>
  <w:num w:numId="18" w16cid:durableId="1513645692">
    <w:abstractNumId w:val="17"/>
  </w:num>
  <w:num w:numId="19" w16cid:durableId="70740775">
    <w:abstractNumId w:val="18"/>
  </w:num>
  <w:num w:numId="20" w16cid:durableId="260651777">
    <w:abstractNumId w:val="10"/>
  </w:num>
  <w:num w:numId="21" w16cid:durableId="1053962132">
    <w:abstractNumId w:val="16"/>
  </w:num>
  <w:num w:numId="22" w16cid:durableId="565844373">
    <w:abstractNumId w:val="22"/>
  </w:num>
  <w:num w:numId="23" w16cid:durableId="358093480">
    <w:abstractNumId w:val="20"/>
  </w:num>
  <w:num w:numId="24" w16cid:durableId="1997612335">
    <w:abstractNumId w:val="20"/>
  </w:num>
  <w:num w:numId="25" w16cid:durableId="479420119">
    <w:abstractNumId w:val="20"/>
  </w:num>
  <w:num w:numId="26" w16cid:durableId="67656200">
    <w:abstractNumId w:val="14"/>
  </w:num>
  <w:num w:numId="27" w16cid:durableId="1409231456">
    <w:abstractNumId w:val="9"/>
  </w:num>
  <w:num w:numId="28" w16cid:durableId="1284924482">
    <w:abstractNumId w:val="9"/>
  </w:num>
  <w:num w:numId="29" w16cid:durableId="2013331781">
    <w:abstractNumId w:val="9"/>
  </w:num>
  <w:num w:numId="30" w16cid:durableId="1343900376">
    <w:abstractNumId w:val="19"/>
  </w:num>
  <w:num w:numId="31" w16cid:durableId="792478236">
    <w:abstractNumId w:val="12"/>
  </w:num>
  <w:num w:numId="32" w16cid:durableId="844594404">
    <w:abstractNumId w:val="21"/>
  </w:num>
  <w:num w:numId="33" w16cid:durableId="1060902002">
    <w:abstractNumId w:val="11"/>
  </w:num>
  <w:num w:numId="34" w16cid:durableId="1321155852">
    <w:abstractNumId w:val="13"/>
  </w:num>
  <w:num w:numId="35" w16cid:durableId="613093906">
    <w:abstractNumId w:val="14"/>
  </w:num>
  <w:num w:numId="36" w16cid:durableId="1608345995">
    <w:abstractNumId w:val="9"/>
  </w:num>
  <w:num w:numId="37" w16cid:durableId="598415019">
    <w:abstractNumId w:val="20"/>
  </w:num>
  <w:num w:numId="38" w16cid:durableId="504437692">
    <w:abstractNumId w:val="8"/>
  </w:num>
  <w:num w:numId="39" w16cid:durableId="707218506">
    <w:abstractNumId w:val="15"/>
  </w:num>
  <w:num w:numId="40" w16cid:durableId="1012804828">
    <w:abstractNumId w:val="17"/>
  </w:num>
  <w:num w:numId="41" w16cid:durableId="1340698305">
    <w:abstractNumId w:val="18"/>
  </w:num>
  <w:num w:numId="42" w16cid:durableId="555437375">
    <w:abstractNumId w:val="10"/>
  </w:num>
  <w:num w:numId="43" w16cid:durableId="829565158">
    <w:abstractNumId w:val="16"/>
  </w:num>
  <w:num w:numId="44" w16cid:durableId="173141962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E2C75B3-DC5C-42D9-9F88-AD33DA82ACAA}"/>
    <w:docVar w:name="dgnword-eventsink" w:val="967547512"/>
    <w:docVar w:name="DQCDateTime" w:val="2023-03-27 16:46:40"/>
    <w:docVar w:name="DQCResult_Distribution" w:val="0;0"/>
    <w:docVar w:name="DQCResult_DocumentContent" w:val="0;0"/>
    <w:docVar w:name="DQCResult_DocumentSize" w:val="0;0"/>
    <w:docVar w:name="DQCResult_InvalidFootnotes" w:val="0;0"/>
    <w:docVar w:name="DQCResult_ModifiedMarkers" w:val="0;0"/>
    <w:docVar w:name="DQCResult_ModifiedNumbering" w:val="0;0"/>
    <w:docVar w:name="DQCResult_Objects" w:val="0;0"/>
    <w:docVar w:name="DQCResult_StructureCheck" w:val="0;0"/>
    <w:docVar w:name="DQCStatus" w:val="Yellow"/>
    <w:docVar w:name="DQCVersion" w:val="3"/>
    <w:docVar w:name="DQCWithWarnings" w:val="0"/>
    <w:docVar w:name="LW_CORRIGENDUM" w:val="&lt;UNUSED&gt;"/>
    <w:docVar w:name="LW_COVERPAGE_EXISTS" w:val="True"/>
    <w:docVar w:name="LW_COVERPAGE_GUID" w:val="3D5FE2BB-9B3B-4DD5-9CBE-832A0F80EBC7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4"/>
    <w:docVar w:name="LW_ID_DOCSIGNATURE" w:val="SJ-004"/>
    <w:docVar w:name="LW_ID_DOCSTRUCTURE" w:val="COM/AA"/>
    <w:docVar w:name="LW_ID_DOCTYPE" w:val="SJ-004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3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laying down rules for the application of Directive 2014/90/EU of the European Parliament and of the Council, as regards design, construction and performance requirements and testing standards for marine equipment and repealing Implementing Regulation (EU) 2022/1157"/>
    <w:docVar w:name="LW_TYPE.DOC.CP" w:val="COMMISSION IMPLEMENTING REGULATION (EU) \u8230?/..."/>
  </w:docVars>
  <w:rsids>
    <w:rsidRoot w:val="00571B96"/>
    <w:rsid w:val="00021494"/>
    <w:rsid w:val="000654F6"/>
    <w:rsid w:val="00065951"/>
    <w:rsid w:val="00082D6A"/>
    <w:rsid w:val="000860D7"/>
    <w:rsid w:val="00093EC8"/>
    <w:rsid w:val="000942A9"/>
    <w:rsid w:val="000971DE"/>
    <w:rsid w:val="000B0861"/>
    <w:rsid w:val="000C0F62"/>
    <w:rsid w:val="000C170C"/>
    <w:rsid w:val="000C49BD"/>
    <w:rsid w:val="000E152C"/>
    <w:rsid w:val="000E66E2"/>
    <w:rsid w:val="000F2E83"/>
    <w:rsid w:val="00102DD9"/>
    <w:rsid w:val="0012376E"/>
    <w:rsid w:val="00174BD2"/>
    <w:rsid w:val="00185A1E"/>
    <w:rsid w:val="0018663A"/>
    <w:rsid w:val="00190AC5"/>
    <w:rsid w:val="0019536B"/>
    <w:rsid w:val="001A4211"/>
    <w:rsid w:val="001E37DF"/>
    <w:rsid w:val="001E40F1"/>
    <w:rsid w:val="001F2A3E"/>
    <w:rsid w:val="001F56C3"/>
    <w:rsid w:val="00204FAF"/>
    <w:rsid w:val="00212FB9"/>
    <w:rsid w:val="002226A9"/>
    <w:rsid w:val="002368CD"/>
    <w:rsid w:val="002512F1"/>
    <w:rsid w:val="00253863"/>
    <w:rsid w:val="00254253"/>
    <w:rsid w:val="002638C1"/>
    <w:rsid w:val="00294441"/>
    <w:rsid w:val="002A0B95"/>
    <w:rsid w:val="002A32D8"/>
    <w:rsid w:val="002C0C3E"/>
    <w:rsid w:val="002D4012"/>
    <w:rsid w:val="002E476B"/>
    <w:rsid w:val="002E62CD"/>
    <w:rsid w:val="0031390C"/>
    <w:rsid w:val="00320834"/>
    <w:rsid w:val="003516A3"/>
    <w:rsid w:val="00352527"/>
    <w:rsid w:val="0035496A"/>
    <w:rsid w:val="0036363F"/>
    <w:rsid w:val="003A3655"/>
    <w:rsid w:val="003A4249"/>
    <w:rsid w:val="003A492E"/>
    <w:rsid w:val="003A5B88"/>
    <w:rsid w:val="003B7CC8"/>
    <w:rsid w:val="003D1549"/>
    <w:rsid w:val="00417225"/>
    <w:rsid w:val="0043341E"/>
    <w:rsid w:val="00470AE5"/>
    <w:rsid w:val="00474B50"/>
    <w:rsid w:val="004D748C"/>
    <w:rsid w:val="004E1744"/>
    <w:rsid w:val="004E74E0"/>
    <w:rsid w:val="00526CD1"/>
    <w:rsid w:val="005540B9"/>
    <w:rsid w:val="005567C2"/>
    <w:rsid w:val="00560524"/>
    <w:rsid w:val="00562136"/>
    <w:rsid w:val="00563BFB"/>
    <w:rsid w:val="00571B96"/>
    <w:rsid w:val="00574D0C"/>
    <w:rsid w:val="005C368D"/>
    <w:rsid w:val="005C4A94"/>
    <w:rsid w:val="005E046C"/>
    <w:rsid w:val="005F3B9F"/>
    <w:rsid w:val="005F59AD"/>
    <w:rsid w:val="00620E6E"/>
    <w:rsid w:val="00650444"/>
    <w:rsid w:val="00654B8F"/>
    <w:rsid w:val="00664E20"/>
    <w:rsid w:val="00675B8E"/>
    <w:rsid w:val="00685E50"/>
    <w:rsid w:val="006A70B9"/>
    <w:rsid w:val="006B3F1C"/>
    <w:rsid w:val="006C4188"/>
    <w:rsid w:val="006D38DE"/>
    <w:rsid w:val="006F39CC"/>
    <w:rsid w:val="00700510"/>
    <w:rsid w:val="007957F6"/>
    <w:rsid w:val="007A5CBE"/>
    <w:rsid w:val="007B1FFA"/>
    <w:rsid w:val="007D178B"/>
    <w:rsid w:val="007E6E2E"/>
    <w:rsid w:val="008113C9"/>
    <w:rsid w:val="00833369"/>
    <w:rsid w:val="0084738D"/>
    <w:rsid w:val="00856A5A"/>
    <w:rsid w:val="00877878"/>
    <w:rsid w:val="00886F23"/>
    <w:rsid w:val="00890C0E"/>
    <w:rsid w:val="008B41B3"/>
    <w:rsid w:val="008B4F65"/>
    <w:rsid w:val="008C4362"/>
    <w:rsid w:val="008F6C98"/>
    <w:rsid w:val="00946162"/>
    <w:rsid w:val="00955213"/>
    <w:rsid w:val="00957DE8"/>
    <w:rsid w:val="009B1337"/>
    <w:rsid w:val="009C238C"/>
    <w:rsid w:val="009C59E0"/>
    <w:rsid w:val="009E4C36"/>
    <w:rsid w:val="009F2E53"/>
    <w:rsid w:val="00A357FB"/>
    <w:rsid w:val="00A43021"/>
    <w:rsid w:val="00A431B8"/>
    <w:rsid w:val="00A705E1"/>
    <w:rsid w:val="00A762DB"/>
    <w:rsid w:val="00A94F1D"/>
    <w:rsid w:val="00AA7ED4"/>
    <w:rsid w:val="00AE324D"/>
    <w:rsid w:val="00B04E26"/>
    <w:rsid w:val="00B112B7"/>
    <w:rsid w:val="00B224E1"/>
    <w:rsid w:val="00B461ED"/>
    <w:rsid w:val="00B539BB"/>
    <w:rsid w:val="00B747EF"/>
    <w:rsid w:val="00B777BB"/>
    <w:rsid w:val="00B868F1"/>
    <w:rsid w:val="00B91276"/>
    <w:rsid w:val="00B9469E"/>
    <w:rsid w:val="00B9698F"/>
    <w:rsid w:val="00BA7DFC"/>
    <w:rsid w:val="00BB0903"/>
    <w:rsid w:val="00BD371D"/>
    <w:rsid w:val="00BD7BB3"/>
    <w:rsid w:val="00BE7C09"/>
    <w:rsid w:val="00BF545D"/>
    <w:rsid w:val="00C05E02"/>
    <w:rsid w:val="00C309C1"/>
    <w:rsid w:val="00C36E0D"/>
    <w:rsid w:val="00C37C7D"/>
    <w:rsid w:val="00C42F7F"/>
    <w:rsid w:val="00C81668"/>
    <w:rsid w:val="00CA00A6"/>
    <w:rsid w:val="00CB00F8"/>
    <w:rsid w:val="00CC3376"/>
    <w:rsid w:val="00CF56CC"/>
    <w:rsid w:val="00D03BBB"/>
    <w:rsid w:val="00D050BA"/>
    <w:rsid w:val="00D41A57"/>
    <w:rsid w:val="00D4409F"/>
    <w:rsid w:val="00D4505B"/>
    <w:rsid w:val="00D501EC"/>
    <w:rsid w:val="00D54D0A"/>
    <w:rsid w:val="00D6147C"/>
    <w:rsid w:val="00D707DD"/>
    <w:rsid w:val="00D91BF2"/>
    <w:rsid w:val="00DA36C0"/>
    <w:rsid w:val="00DC572F"/>
    <w:rsid w:val="00DD0646"/>
    <w:rsid w:val="00E24ABA"/>
    <w:rsid w:val="00E25134"/>
    <w:rsid w:val="00E57484"/>
    <w:rsid w:val="00E62C8B"/>
    <w:rsid w:val="00E63829"/>
    <w:rsid w:val="00E73677"/>
    <w:rsid w:val="00E80C51"/>
    <w:rsid w:val="00E858F5"/>
    <w:rsid w:val="00E92B05"/>
    <w:rsid w:val="00E948B2"/>
    <w:rsid w:val="00E949A6"/>
    <w:rsid w:val="00E96A73"/>
    <w:rsid w:val="00EA097C"/>
    <w:rsid w:val="00EC3098"/>
    <w:rsid w:val="00ED6253"/>
    <w:rsid w:val="00EF2A7D"/>
    <w:rsid w:val="00F06085"/>
    <w:rsid w:val="00F107C8"/>
    <w:rsid w:val="00F12994"/>
    <w:rsid w:val="00F1473C"/>
    <w:rsid w:val="00F42B5A"/>
    <w:rsid w:val="00F47824"/>
    <w:rsid w:val="00F763CA"/>
    <w:rsid w:val="00F82B79"/>
    <w:rsid w:val="00FA1E6B"/>
    <w:rsid w:val="00FB313D"/>
    <w:rsid w:val="00FB56A9"/>
    <w:rsid w:val="00FD3445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7E610635"/>
  <w15:docId w15:val="{A4AA0F4A-F6FE-4DAA-8155-F72F122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Overskrift1">
    <w:name w:val="heading 1"/>
    <w:basedOn w:val="Normal"/>
    <w:next w:val="Text1"/>
    <w:link w:val="Overskrift1Tegn"/>
    <w:uiPriority w:val="9"/>
    <w:qFormat/>
    <w:pPr>
      <w:keepNext/>
      <w:numPr>
        <w:numId w:val="3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Overskrift2">
    <w:name w:val="heading 2"/>
    <w:basedOn w:val="Normal"/>
    <w:next w:val="Text1"/>
    <w:link w:val="Overskrift2Tegn"/>
    <w:uiPriority w:val="9"/>
    <w:semiHidden/>
    <w:unhideWhenUsed/>
    <w:qFormat/>
    <w:pPr>
      <w:keepNext/>
      <w:numPr>
        <w:ilvl w:val="1"/>
        <w:numId w:val="37"/>
      </w:numPr>
      <w:outlineLvl w:val="1"/>
    </w:pPr>
    <w:rPr>
      <w:rFonts w:eastAsiaTheme="majorEastAsia"/>
      <w:b/>
      <w:bCs/>
      <w:szCs w:val="26"/>
    </w:rPr>
  </w:style>
  <w:style w:type="paragraph" w:styleId="Overskrift3">
    <w:name w:val="heading 3"/>
    <w:basedOn w:val="Normal"/>
    <w:next w:val="Text1"/>
    <w:link w:val="Overskrift3Tegn"/>
    <w:uiPriority w:val="9"/>
    <w:semiHidden/>
    <w:unhideWhenUsed/>
    <w:qFormat/>
    <w:pPr>
      <w:keepNext/>
      <w:numPr>
        <w:ilvl w:val="2"/>
        <w:numId w:val="37"/>
      </w:numPr>
      <w:outlineLvl w:val="2"/>
    </w:pPr>
    <w:rPr>
      <w:rFonts w:eastAsiaTheme="majorEastAsia"/>
      <w:bCs/>
      <w:i/>
    </w:rPr>
  </w:style>
  <w:style w:type="paragraph" w:styleId="Overskrift4">
    <w:name w:val="heading 4"/>
    <w:basedOn w:val="Normal"/>
    <w:next w:val="Text1"/>
    <w:link w:val="Overskrift4Tegn"/>
    <w:uiPriority w:val="9"/>
    <w:semiHidden/>
    <w:unhideWhenUsed/>
    <w:qFormat/>
    <w:pPr>
      <w:keepNext/>
      <w:numPr>
        <w:ilvl w:val="3"/>
        <w:numId w:val="37"/>
      </w:numPr>
      <w:outlineLvl w:val="3"/>
    </w:pPr>
    <w:rPr>
      <w:rFonts w:eastAsiaTheme="majorEastAsia"/>
      <w:bCs/>
      <w:iCs/>
    </w:rPr>
  </w:style>
  <w:style w:type="paragraph" w:styleId="Overskrift5">
    <w:name w:val="heading 5"/>
    <w:basedOn w:val="Normal"/>
    <w:next w:val="Text2"/>
    <w:link w:val="Overskrift5Tegn"/>
    <w:uiPriority w:val="9"/>
    <w:semiHidden/>
    <w:unhideWhenUsed/>
    <w:qFormat/>
    <w:pPr>
      <w:keepNext/>
      <w:numPr>
        <w:ilvl w:val="4"/>
        <w:numId w:val="37"/>
      </w:numPr>
      <w:outlineLvl w:val="4"/>
    </w:pPr>
    <w:rPr>
      <w:rFonts w:eastAsiaTheme="majorEastAsia"/>
    </w:rPr>
  </w:style>
  <w:style w:type="paragraph" w:styleId="Overskrift6">
    <w:name w:val="heading 6"/>
    <w:basedOn w:val="Normal"/>
    <w:next w:val="Text2"/>
    <w:link w:val="Overskrift6Tegn"/>
    <w:uiPriority w:val="9"/>
    <w:semiHidden/>
    <w:unhideWhenUsed/>
    <w:qFormat/>
    <w:pPr>
      <w:keepNext/>
      <w:numPr>
        <w:ilvl w:val="5"/>
        <w:numId w:val="37"/>
      </w:numPr>
      <w:outlineLvl w:val="5"/>
    </w:pPr>
    <w:rPr>
      <w:rFonts w:eastAsiaTheme="majorEastAsia"/>
      <w:iCs/>
    </w:rPr>
  </w:style>
  <w:style w:type="paragraph" w:styleId="Overskrift7">
    <w:name w:val="heading 7"/>
    <w:basedOn w:val="Normal"/>
    <w:next w:val="Text2"/>
    <w:link w:val="Overskrift7Tegn"/>
    <w:uiPriority w:val="9"/>
    <w:semiHidden/>
    <w:unhideWhenUsed/>
    <w:qFormat/>
    <w:pPr>
      <w:keepNext/>
      <w:numPr>
        <w:ilvl w:val="6"/>
        <w:numId w:val="37"/>
      </w:numPr>
      <w:outlineLvl w:val="6"/>
    </w:pPr>
    <w:rPr>
      <w:rFonts w:eastAsiaTheme="majorEastAsia"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4E0"/>
    <w:pPr>
      <w:ind w:left="720"/>
      <w:contextualSpacing/>
    </w:pPr>
  </w:style>
  <w:style w:type="paragraph" w:styleId="Punktliste">
    <w:name w:val="List Bullet"/>
    <w:basedOn w:val="Normal"/>
    <w:uiPriority w:val="99"/>
    <w:semiHidden/>
    <w:unhideWhenUsed/>
    <w:rsid w:val="003A4249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A4249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A4249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A4249"/>
    <w:pPr>
      <w:numPr>
        <w:numId w:val="4"/>
      </w:numPr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560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560524"/>
    <w:pPr>
      <w:spacing w:after="0"/>
    </w:pPr>
  </w:style>
  <w:style w:type="paragraph" w:styleId="Nummerertliste">
    <w:name w:val="List Number"/>
    <w:basedOn w:val="Normal"/>
    <w:uiPriority w:val="99"/>
    <w:semiHidden/>
    <w:unhideWhenUsed/>
    <w:rsid w:val="00560524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60524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60524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60524"/>
    <w:pPr>
      <w:numPr>
        <w:numId w:val="8"/>
      </w:numPr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309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309C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309C1"/>
    <w:rPr>
      <w:rFonts w:ascii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09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09C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09C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09C1"/>
    <w:rPr>
      <w:rFonts w:ascii="Segoe UI" w:hAnsi="Segoe UI" w:cs="Segoe UI"/>
      <w:sz w:val="18"/>
      <w:szCs w:val="18"/>
      <w:lang w:val="en-GB"/>
    </w:rPr>
  </w:style>
  <w:style w:type="character" w:styleId="Hyperkobling">
    <w:name w:val="Hyperlink"/>
    <w:basedOn w:val="Standardskriftforavsnitt"/>
    <w:uiPriority w:val="99"/>
    <w:unhideWhenUsed/>
    <w:rsid w:val="00C309C1"/>
    <w:rPr>
      <w:color w:val="0000FF" w:themeColor="hyperlink"/>
      <w:u w:val="single"/>
    </w:rPr>
  </w:style>
  <w:style w:type="paragraph" w:styleId="Revisjon">
    <w:name w:val="Revision"/>
    <w:hidden/>
    <w:uiPriority w:val="99"/>
    <w:semiHidden/>
    <w:rsid w:val="009F2E53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="Times New Roman" w:eastAsiaTheme="majorEastAsia" w:hAnsi="Times New Roman" w:cs="Times New Roman"/>
      <w:sz w:val="24"/>
      <w:shd w:val="clear" w:color="auto" w:fill="auto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="Times New Roman" w:eastAsiaTheme="majorEastAsia" w:hAnsi="Times New Roman" w:cs="Times New Roman"/>
      <w:iCs/>
      <w:sz w:val="24"/>
      <w:shd w:val="clear" w:color="auto" w:fill="auto"/>
      <w:lang w:val="en-GB"/>
    </w:rPr>
  </w:style>
  <w:style w:type="paragraph" w:styleId="Overskriftforinnholdsfortegnelse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INNH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NH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NH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NH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INNH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INNH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INNH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INNH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INNH9">
    <w:name w:val="toc 9"/>
    <w:basedOn w:val="Normal"/>
    <w:next w:val="Normal"/>
    <w:uiPriority w:val="39"/>
    <w:semiHidden/>
    <w:unhideWhenUsed/>
    <w:pPr>
      <w:tabs>
        <w:tab w:val="right" w:leader="dot" w:pos="9071"/>
      </w:tabs>
      <w:ind w:left="1417" w:hanging="1417"/>
      <w:jc w:val="left"/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tnotereferanse">
    <w:name w:val="footnote reference"/>
    <w:basedOn w:val="Standardskriftforavsnit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Text5">
    <w:name w:val="Text 5"/>
    <w:basedOn w:val="Normal"/>
    <w:pPr>
      <w:ind w:left="3118"/>
    </w:pPr>
  </w:style>
  <w:style w:type="paragraph" w:customStyle="1" w:styleId="Text6">
    <w:name w:val="Text 6"/>
    <w:basedOn w:val="Normal"/>
    <w:pPr>
      <w:ind w:left="3685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Point5">
    <w:name w:val="Point 5"/>
    <w:basedOn w:val="Normal"/>
    <w:pPr>
      <w:ind w:left="3685" w:hanging="567"/>
    </w:pPr>
  </w:style>
  <w:style w:type="paragraph" w:customStyle="1" w:styleId="Tiret0">
    <w:name w:val="Tiret 0"/>
    <w:basedOn w:val="Point0"/>
    <w:pPr>
      <w:numPr>
        <w:numId w:val="30"/>
      </w:numPr>
    </w:pPr>
  </w:style>
  <w:style w:type="paragraph" w:customStyle="1" w:styleId="Tiret1">
    <w:name w:val="Tiret 1"/>
    <w:basedOn w:val="Point1"/>
    <w:pPr>
      <w:numPr>
        <w:numId w:val="31"/>
      </w:numPr>
    </w:pPr>
  </w:style>
  <w:style w:type="paragraph" w:customStyle="1" w:styleId="Tiret2">
    <w:name w:val="Tiret 2"/>
    <w:basedOn w:val="Point2"/>
    <w:pPr>
      <w:numPr>
        <w:numId w:val="32"/>
      </w:numPr>
    </w:pPr>
  </w:style>
  <w:style w:type="paragraph" w:customStyle="1" w:styleId="Tiret3">
    <w:name w:val="Tiret 3"/>
    <w:basedOn w:val="Point3"/>
    <w:pPr>
      <w:numPr>
        <w:numId w:val="33"/>
      </w:numPr>
    </w:pPr>
  </w:style>
  <w:style w:type="paragraph" w:customStyle="1" w:styleId="Tiret4">
    <w:name w:val="Tiret 4"/>
    <w:basedOn w:val="Point4"/>
    <w:pPr>
      <w:numPr>
        <w:numId w:val="34"/>
      </w:numPr>
    </w:pPr>
  </w:style>
  <w:style w:type="paragraph" w:customStyle="1" w:styleId="Tiret5">
    <w:name w:val="Tiret 5"/>
    <w:basedOn w:val="Point5"/>
    <w:pPr>
      <w:numPr>
        <w:numId w:val="3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6"/>
      </w:numPr>
    </w:pPr>
  </w:style>
  <w:style w:type="paragraph" w:customStyle="1" w:styleId="NumPar5">
    <w:name w:val="NumPar 5"/>
    <w:basedOn w:val="Normal"/>
    <w:next w:val="Text2"/>
    <w:pPr>
      <w:numPr>
        <w:ilvl w:val="4"/>
        <w:numId w:val="36"/>
      </w:numPr>
    </w:pPr>
  </w:style>
  <w:style w:type="paragraph" w:customStyle="1" w:styleId="NumPar6">
    <w:name w:val="NumPar 6"/>
    <w:basedOn w:val="Normal"/>
    <w:next w:val="Text2"/>
    <w:pPr>
      <w:numPr>
        <w:ilvl w:val="5"/>
        <w:numId w:val="36"/>
      </w:numPr>
    </w:pPr>
  </w:style>
  <w:style w:type="paragraph" w:customStyle="1" w:styleId="NumPar7">
    <w:name w:val="NumPar 7"/>
    <w:basedOn w:val="Normal"/>
    <w:next w:val="Text2"/>
    <w:pPr>
      <w:numPr>
        <w:ilvl w:val="6"/>
        <w:numId w:val="3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ManualNumPar5">
    <w:name w:val="Manual NumPar 5"/>
    <w:basedOn w:val="Normal"/>
    <w:next w:val="Text2"/>
    <w:pPr>
      <w:ind w:left="1417" w:hanging="1417"/>
    </w:pPr>
  </w:style>
  <w:style w:type="paragraph" w:customStyle="1" w:styleId="ManualNumPar6">
    <w:name w:val="Manual NumPar 6"/>
    <w:basedOn w:val="Normal"/>
    <w:next w:val="Text2"/>
    <w:pPr>
      <w:ind w:left="1417" w:hanging="1417"/>
    </w:pPr>
  </w:style>
  <w:style w:type="paragraph" w:customStyle="1" w:styleId="ManualNumPar7">
    <w:name w:val="Manual NumPar 7"/>
    <w:basedOn w:val="Normal"/>
    <w:next w:val="Text2"/>
    <w:pPr>
      <w:ind w:left="1417" w:hanging="1417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ManualHeading5">
    <w:name w:val="Manual Heading 5"/>
    <w:basedOn w:val="Normal"/>
    <w:next w:val="Text2"/>
    <w:pPr>
      <w:keepNext/>
      <w:tabs>
        <w:tab w:val="left" w:pos="1417"/>
      </w:tabs>
      <w:ind w:left="1417" w:hanging="1417"/>
      <w:outlineLvl w:val="4"/>
    </w:pPr>
  </w:style>
  <w:style w:type="paragraph" w:customStyle="1" w:styleId="ManualHeading6">
    <w:name w:val="Manual Heading 6"/>
    <w:basedOn w:val="Normal"/>
    <w:next w:val="Text2"/>
    <w:pPr>
      <w:keepNext/>
      <w:tabs>
        <w:tab w:val="left" w:pos="1417"/>
      </w:tabs>
      <w:ind w:left="1417" w:hanging="1417"/>
      <w:outlineLvl w:val="5"/>
    </w:pPr>
  </w:style>
  <w:style w:type="paragraph" w:customStyle="1" w:styleId="ManualHeading7">
    <w:name w:val="Manual Heading 7"/>
    <w:basedOn w:val="Normal"/>
    <w:next w:val="Text2"/>
    <w:pPr>
      <w:keepNext/>
      <w:tabs>
        <w:tab w:val="left" w:pos="1417"/>
      </w:tabs>
      <w:ind w:left="1417" w:hanging="1417"/>
      <w:outlineLvl w:val="6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Overskrift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Standardskriftforavsnitt"/>
    <w:rPr>
      <w:color w:val="0000FF"/>
      <w:shd w:val="clear" w:color="auto" w:fill="auto"/>
    </w:rPr>
  </w:style>
  <w:style w:type="character" w:customStyle="1" w:styleId="Marker1">
    <w:name w:val="Marker1"/>
    <w:basedOn w:val="Standardskriftforavsnitt"/>
    <w:rPr>
      <w:color w:val="008000"/>
      <w:shd w:val="clear" w:color="auto" w:fill="auto"/>
    </w:rPr>
  </w:style>
  <w:style w:type="character" w:customStyle="1" w:styleId="Marker2">
    <w:name w:val="Marker2"/>
    <w:basedOn w:val="Standardskriftforavsnit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8"/>
      </w:numPr>
    </w:pPr>
  </w:style>
  <w:style w:type="paragraph" w:customStyle="1" w:styleId="Point1number">
    <w:name w:val="Point 1 (number)"/>
    <w:basedOn w:val="Normal"/>
    <w:pPr>
      <w:numPr>
        <w:ilvl w:val="2"/>
        <w:numId w:val="38"/>
      </w:numPr>
    </w:pPr>
  </w:style>
  <w:style w:type="paragraph" w:customStyle="1" w:styleId="Point2number">
    <w:name w:val="Point 2 (number)"/>
    <w:basedOn w:val="Normal"/>
    <w:pPr>
      <w:numPr>
        <w:ilvl w:val="4"/>
        <w:numId w:val="38"/>
      </w:numPr>
    </w:pPr>
  </w:style>
  <w:style w:type="paragraph" w:customStyle="1" w:styleId="Point3number">
    <w:name w:val="Point 3 (number)"/>
    <w:basedOn w:val="Normal"/>
    <w:pPr>
      <w:numPr>
        <w:ilvl w:val="6"/>
        <w:numId w:val="38"/>
      </w:numPr>
    </w:pPr>
  </w:style>
  <w:style w:type="paragraph" w:customStyle="1" w:styleId="Point0letter">
    <w:name w:val="Point 0 (letter)"/>
    <w:basedOn w:val="Normal"/>
    <w:pPr>
      <w:numPr>
        <w:ilvl w:val="1"/>
        <w:numId w:val="38"/>
      </w:numPr>
    </w:pPr>
  </w:style>
  <w:style w:type="paragraph" w:customStyle="1" w:styleId="Point1letter">
    <w:name w:val="Point 1 (letter)"/>
    <w:basedOn w:val="Normal"/>
    <w:pPr>
      <w:numPr>
        <w:ilvl w:val="3"/>
        <w:numId w:val="38"/>
      </w:numPr>
    </w:pPr>
  </w:style>
  <w:style w:type="paragraph" w:customStyle="1" w:styleId="Point2letter">
    <w:name w:val="Point 2 (letter)"/>
    <w:basedOn w:val="Normal"/>
    <w:pPr>
      <w:numPr>
        <w:ilvl w:val="5"/>
        <w:numId w:val="38"/>
      </w:numPr>
    </w:pPr>
  </w:style>
  <w:style w:type="paragraph" w:customStyle="1" w:styleId="Point3letter">
    <w:name w:val="Point 3 (letter)"/>
    <w:basedOn w:val="Normal"/>
    <w:pPr>
      <w:numPr>
        <w:ilvl w:val="7"/>
        <w:numId w:val="38"/>
      </w:numPr>
    </w:pPr>
  </w:style>
  <w:style w:type="paragraph" w:customStyle="1" w:styleId="Point4letter">
    <w:name w:val="Point 4 (letter)"/>
    <w:basedOn w:val="Normal"/>
    <w:pPr>
      <w:numPr>
        <w:ilvl w:val="8"/>
        <w:numId w:val="38"/>
      </w:numPr>
    </w:pPr>
  </w:style>
  <w:style w:type="paragraph" w:customStyle="1" w:styleId="Bullet0">
    <w:name w:val="Bullet 0"/>
    <w:basedOn w:val="Normal"/>
    <w:pPr>
      <w:numPr>
        <w:numId w:val="39"/>
      </w:numPr>
    </w:pPr>
  </w:style>
  <w:style w:type="paragraph" w:customStyle="1" w:styleId="Bullet1">
    <w:name w:val="Bullet 1"/>
    <w:basedOn w:val="Normal"/>
    <w:pPr>
      <w:numPr>
        <w:numId w:val="40"/>
      </w:numPr>
    </w:pPr>
  </w:style>
  <w:style w:type="paragraph" w:customStyle="1" w:styleId="Bullet2">
    <w:name w:val="Bullet 2"/>
    <w:basedOn w:val="Normal"/>
    <w:pPr>
      <w:numPr>
        <w:numId w:val="41"/>
      </w:numPr>
    </w:pPr>
  </w:style>
  <w:style w:type="paragraph" w:customStyle="1" w:styleId="Bullet3">
    <w:name w:val="Bullet 3"/>
    <w:basedOn w:val="Normal"/>
    <w:pPr>
      <w:numPr>
        <w:numId w:val="42"/>
      </w:numPr>
    </w:pPr>
  </w:style>
  <w:style w:type="paragraph" w:customStyle="1" w:styleId="Bullet4">
    <w:name w:val="Bullet 4"/>
    <w:basedOn w:val="Normal"/>
    <w:pPr>
      <w:numPr>
        <w:numId w:val="4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Standardskriftforavsnitt"/>
    <w:rPr>
      <w:b/>
      <w:u w:val="single"/>
      <w:shd w:val="clear" w:color="auto" w:fill="auto"/>
    </w:rPr>
  </w:style>
  <w:style w:type="character" w:customStyle="1" w:styleId="Deleted">
    <w:name w:val="Deleted"/>
    <w:basedOn w:val="Standardskriftforavsnit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39d607b5-3019-4139-86e9-2e131faaffa8">EN</EC_Collab_DocumentLanguage>
    <_Status xmlns="http://schemas.microsoft.com/sharepoint/v3/fields">Not Started</_Status>
    <EC_Collab_Reference xmlns="39d607b5-3019-4139-86e9-2e131faaffa8">-</EC_Collab_Refer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3285A78CCB54F4DA2ECE5FA2B2AF218" ma:contentTypeVersion="2" ma:contentTypeDescription="Create a new document in this library." ma:contentTypeScope="" ma:versionID="75423994a2259ac637dc03e8133cded3">
  <xsd:schema xmlns:xsd="http://www.w3.org/2001/XMLSchema" xmlns:xs="http://www.w3.org/2001/XMLSchema" xmlns:p="http://schemas.microsoft.com/office/2006/metadata/properties" xmlns:ns2="http://schemas.microsoft.com/sharepoint/v3/fields" xmlns:ns3="39d607b5-3019-4139-86e9-2e131faaffa8" xmlns:ns4="379e0a09-5deb-44c7-a703-b352a170740d" targetNamespace="http://schemas.microsoft.com/office/2006/metadata/properties" ma:root="true" ma:fieldsID="7f417d262b26c14067de857753d6d876" ns2:_="" ns3:_="" ns4:_="">
    <xsd:import namespace="http://schemas.microsoft.com/sharepoint/v3/fields"/>
    <xsd:import namespace="39d607b5-3019-4139-86e9-2e131faaffa8"/>
    <xsd:import namespace="379e0a09-5deb-44c7-a703-b352a170740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607b5-3019-4139-86e9-2e131faaffa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0a09-5deb-44c7-a703-b352a1707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F9E72-7D51-44F8-9A54-24C508C3CC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A72DA-CBC2-4F8B-9557-3099A42D0555}">
  <ds:schemaRefs>
    <ds:schemaRef ds:uri="http://schemas.microsoft.com/office/2006/metadata/properties"/>
    <ds:schemaRef ds:uri="http://schemas.microsoft.com/office/infopath/2007/PartnerControls"/>
    <ds:schemaRef ds:uri="39d607b5-3019-4139-86e9-2e131faaffa8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9F6AD49-2847-4837-AF3A-61E772172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7E1A1-E4E8-4604-AB74-0B846882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9d607b5-3019-4139-86e9-2e131faaffa8"/>
    <ds:schemaRef ds:uri="379e0a09-5deb-44c7-a703-b352a170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</Pages>
  <Words>604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-</dc:subject>
  <dc:creator>SCHMAHL Maik (MOVE)</dc:creator>
  <cp:keywords/>
  <dc:description/>
  <cp:lastModifiedBy>Karen Ane Pedersen</cp:lastModifiedBy>
  <cp:revision>2</cp:revision>
  <dcterms:created xsi:type="dcterms:W3CDTF">2023-06-20T12:13:00Z</dcterms:created>
  <dcterms:modified xsi:type="dcterms:W3CDTF">2023-06-20T12:13:00Z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6.0.100.0</vt:lpwstr>
  </property>
  <property fmtid="{D5CDD505-2E9C-101B-9397-08002B2CF9AE}" pid="4" name="Last edited using">
    <vt:lpwstr>LW 9.0, Build 20230317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SJ-004</vt:lpwstr>
  </property>
  <property fmtid="{D5CDD505-2E9C-101B-9397-08002B2CF9AE}" pid="10" name="DQCStatus">
    <vt:lpwstr>Yellow (DQC version 03)</vt:lpwstr>
  </property>
  <property fmtid="{D5CDD505-2E9C-101B-9397-08002B2CF9AE}" pid="11" name="ContentTypeId">
    <vt:lpwstr>0x010100258AA79CEB83498886A3A086811232500033285A78CCB54F4DA2ECE5FA2B2AF218</vt:lpwstr>
  </property>
  <property fmtid="{D5CDD505-2E9C-101B-9397-08002B2CF9AE}" pid="12" name="MSIP_Label_6bd9ddd1-4d20-43f6-abfa-fc3c07406f94_Enabled">
    <vt:lpwstr>true</vt:lpwstr>
  </property>
  <property fmtid="{D5CDD505-2E9C-101B-9397-08002B2CF9AE}" pid="13" name="MSIP_Label_6bd9ddd1-4d20-43f6-abfa-fc3c07406f94_SetDate">
    <vt:lpwstr>2023-04-19T13:37:12Z</vt:lpwstr>
  </property>
  <property fmtid="{D5CDD505-2E9C-101B-9397-08002B2CF9AE}" pid="14" name="MSIP_Label_6bd9ddd1-4d20-43f6-abfa-fc3c07406f94_Method">
    <vt:lpwstr>Standard</vt:lpwstr>
  </property>
  <property fmtid="{D5CDD505-2E9C-101B-9397-08002B2CF9AE}" pid="15" name="MSIP_Label_6bd9ddd1-4d20-43f6-abfa-fc3c07406f94_Name">
    <vt:lpwstr>Commission Use</vt:lpwstr>
  </property>
  <property fmtid="{D5CDD505-2E9C-101B-9397-08002B2CF9AE}" pid="16" name="MSIP_Label_6bd9ddd1-4d20-43f6-abfa-fc3c07406f94_SiteId">
    <vt:lpwstr>b24c8b06-522c-46fe-9080-70926f8dddb1</vt:lpwstr>
  </property>
  <property fmtid="{D5CDD505-2E9C-101B-9397-08002B2CF9AE}" pid="17" name="MSIP_Label_6bd9ddd1-4d20-43f6-abfa-fc3c07406f94_ActionId">
    <vt:lpwstr>6f6c076a-fdfb-4c7d-82bf-910874939148</vt:lpwstr>
  </property>
  <property fmtid="{D5CDD505-2E9C-101B-9397-08002B2CF9AE}" pid="18" name="MSIP_Label_6bd9ddd1-4d20-43f6-abfa-fc3c07406f94_ContentBits">
    <vt:lpwstr>0</vt:lpwstr>
  </property>
</Properties>
</file>